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BB" w:rsidRPr="002A7538" w:rsidRDefault="00EC4689" w:rsidP="002A7538">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C280B0D-785C-4C44-B18C-83D811716948" style="width:451pt;height:397.45pt">
            <v:imagedata r:id="rId9" o:title=""/>
          </v:shape>
        </w:pict>
      </w:r>
    </w:p>
    <w:p w:rsidR="006340BB" w:rsidRPr="002A7538" w:rsidRDefault="006340BB" w:rsidP="006340BB">
      <w:pPr>
        <w:sectPr w:rsidR="006340BB" w:rsidRPr="002A7538" w:rsidSect="00DE340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6340BB" w:rsidRPr="002A7538" w:rsidRDefault="006340BB" w:rsidP="006340BB">
      <w:pPr>
        <w:pStyle w:val="Annexetitre"/>
      </w:pPr>
      <w:r w:rsidRPr="002A7538">
        <w:t xml:space="preserve">ΠΑΡΑΡΤΗΜΑ </w:t>
      </w:r>
    </w:p>
    <w:p w:rsidR="006340BB" w:rsidRPr="002A7538" w:rsidRDefault="006340BB" w:rsidP="006340BB">
      <w:pPr>
        <w:pStyle w:val="ManualHeading1"/>
        <w:spacing w:before="0"/>
      </w:pPr>
      <w:r w:rsidRPr="002A7538">
        <w:t>Πίνακας 1</w:t>
      </w:r>
    </w:p>
    <w:p w:rsidR="006340BB" w:rsidRPr="002A7538" w:rsidRDefault="006340BB" w:rsidP="006340BB">
      <w:r w:rsidRPr="002A7538">
        <w:t>Τα τυποποιημένα έντυπα στη στήλη 1 περιέχουν τα πεδία που αναφέρονται στη στήλη 2 (και απαριθμούνται στον πίνακα 2) όταν χρησιμοποιούνται για τη δημοσίευση προκηρύξεων που αναφέρονται στη στήλη 3. Για λόγους σαφήνειας, η στήλη 4 περιέχει περιγραφές της στήλης 3. Επιπλέον, κάθε ανακοίνωση μπορεί να περιλαμβάνει πεδία από το Ευρωπαϊκό Ενιαίο Έγγραφο Προμήθειας που θεσπίστηκε με τον εκτελεστικό κανονισμό (ΕΕ) 2016/7 της Επιτροπής</w:t>
      </w:r>
      <w:r w:rsidRPr="002A7538">
        <w:rPr>
          <w:rStyle w:val="FootnoteReference"/>
        </w:rPr>
        <w:footnoteReference w:id="1"/>
      </w:r>
      <w:r w:rsidRPr="002A7538">
        <w:t xml:space="preserve">. </w:t>
      </w:r>
    </w:p>
    <w:p w:rsidR="006340BB" w:rsidRPr="002A7538" w:rsidRDefault="006340BB" w:rsidP="006340BB">
      <w:pPr>
        <w:pStyle w:val="Caption"/>
        <w:keepNext/>
        <w:spacing w:after="0"/>
        <w:rPr>
          <w:color w:val="auto"/>
        </w:rPr>
      </w:pPr>
      <w:r w:rsidRPr="002A7538">
        <w:rPr>
          <w:color w:val="auto"/>
        </w:rPr>
        <w:t xml:space="preserve">Πίνακας </w:t>
      </w:r>
      <w:r w:rsidRPr="002A7538">
        <w:rPr>
          <w:color w:val="auto"/>
        </w:rPr>
        <w:fldChar w:fldCharType="begin"/>
      </w:r>
      <w:r w:rsidRPr="002A7538">
        <w:rPr>
          <w:color w:val="auto"/>
        </w:rPr>
        <w:instrText xml:space="preserve"> SEQ Table \* ARABIC </w:instrText>
      </w:r>
      <w:r w:rsidRPr="002A7538">
        <w:rPr>
          <w:color w:val="auto"/>
        </w:rPr>
        <w:fldChar w:fldCharType="separate"/>
      </w:r>
      <w:r w:rsidRPr="002A7538">
        <w:rPr>
          <w:color w:val="auto"/>
        </w:rPr>
        <w:t>1</w:t>
      </w:r>
      <w:r w:rsidRPr="002A7538">
        <w:rPr>
          <w:color w:val="auto"/>
        </w:rPr>
        <w:fldChar w:fldCharType="end"/>
      </w:r>
      <w:r w:rsidRPr="002A7538">
        <w:rPr>
          <w:color w:val="auto"/>
        </w:rPr>
        <w:t>– Έντυπα, ανακοινώσεις και πεδία</w:t>
      </w:r>
    </w:p>
    <w:tbl>
      <w:tblPr>
        <w:tblStyle w:val="TableGrid"/>
        <w:tblW w:w="4937" w:type="pct"/>
        <w:tblInd w:w="108" w:type="dxa"/>
        <w:tblLayout w:type="fixed"/>
        <w:tblLook w:val="04A0" w:firstRow="1" w:lastRow="0" w:firstColumn="1" w:lastColumn="0" w:noHBand="0" w:noVBand="1"/>
      </w:tblPr>
      <w:tblGrid>
        <w:gridCol w:w="2307"/>
        <w:gridCol w:w="2517"/>
        <w:gridCol w:w="4678"/>
        <w:gridCol w:w="5099"/>
      </w:tblGrid>
      <w:tr w:rsidR="006340BB" w:rsidRPr="002A7538" w:rsidTr="00632FD5">
        <w:trPr>
          <w:trHeight w:val="283"/>
        </w:trPr>
        <w:tc>
          <w:tcPr>
            <w:tcW w:w="790" w:type="pct"/>
            <w:shd w:val="clear" w:color="auto" w:fill="EEECE1" w:themeFill="background2"/>
            <w:noWrap/>
            <w:vAlign w:val="center"/>
          </w:tcPr>
          <w:p w:rsidR="006340BB" w:rsidRPr="002A7538" w:rsidRDefault="006340BB" w:rsidP="00632FD5">
            <w:pPr>
              <w:spacing w:before="0" w:after="0"/>
              <w:jc w:val="center"/>
              <w:rPr>
                <w:rFonts w:eastAsia="Times New Roman"/>
                <w:color w:val="000000"/>
                <w:sz w:val="16"/>
                <w:szCs w:val="16"/>
              </w:rPr>
            </w:pPr>
            <w:r w:rsidRPr="002A7538">
              <w:rPr>
                <w:color w:val="000000"/>
                <w:sz w:val="16"/>
              </w:rPr>
              <w:t>Το τυποποιημένο έντυπο:</w:t>
            </w:r>
          </w:p>
        </w:tc>
        <w:tc>
          <w:tcPr>
            <w:tcW w:w="862" w:type="pct"/>
            <w:shd w:val="clear" w:color="auto" w:fill="EEECE1" w:themeFill="background2"/>
            <w:vAlign w:val="center"/>
          </w:tcPr>
          <w:p w:rsidR="006340BB" w:rsidRPr="002A7538" w:rsidRDefault="006340BB" w:rsidP="00632FD5">
            <w:pPr>
              <w:spacing w:before="0" w:after="0"/>
              <w:jc w:val="center"/>
              <w:rPr>
                <w:rFonts w:ascii="Calibri" w:eastAsia="Times New Roman" w:hAnsi="Calibri"/>
                <w:color w:val="000000"/>
                <w:sz w:val="16"/>
                <w:szCs w:val="16"/>
              </w:rPr>
            </w:pPr>
            <w:r w:rsidRPr="002A7538">
              <w:rPr>
                <w:rFonts w:ascii="Calibri" w:hAnsi="Calibri"/>
                <w:color w:val="000000"/>
                <w:sz w:val="16"/>
              </w:rPr>
              <w:t>περιλαμβάνει τα πεδία που απαριθμούνται:</w:t>
            </w:r>
          </w:p>
        </w:tc>
        <w:tc>
          <w:tcPr>
            <w:tcW w:w="1602" w:type="pct"/>
            <w:shd w:val="clear" w:color="auto" w:fill="EEECE1" w:themeFill="background2"/>
            <w:vAlign w:val="center"/>
          </w:tcPr>
          <w:p w:rsidR="006340BB" w:rsidRPr="002A7538" w:rsidRDefault="006340BB" w:rsidP="00DD4B21">
            <w:pPr>
              <w:spacing w:before="0" w:after="0"/>
              <w:jc w:val="center"/>
              <w:rPr>
                <w:rFonts w:ascii="Calibri" w:eastAsia="Times New Roman" w:hAnsi="Calibri"/>
                <w:color w:val="000000"/>
                <w:sz w:val="16"/>
                <w:szCs w:val="16"/>
              </w:rPr>
            </w:pPr>
            <w:r w:rsidRPr="002A7538">
              <w:rPr>
                <w:rFonts w:ascii="Calibri" w:hAnsi="Calibri"/>
                <w:color w:val="000000"/>
                <w:sz w:val="16"/>
              </w:rPr>
              <w:t>όταν χρησιμοποιείται για τη δημοσίευση προκηρύξεων που αναφέρονται:</w:t>
            </w:r>
          </w:p>
        </w:tc>
        <w:tc>
          <w:tcPr>
            <w:tcW w:w="1746" w:type="pct"/>
            <w:shd w:val="clear" w:color="auto" w:fill="EEECE1" w:themeFill="background2"/>
            <w:vAlign w:val="center"/>
          </w:tcPr>
          <w:p w:rsidR="006340BB" w:rsidRPr="002A7538" w:rsidRDefault="006340BB" w:rsidP="00632FD5">
            <w:pPr>
              <w:spacing w:before="0" w:after="0"/>
              <w:jc w:val="center"/>
              <w:rPr>
                <w:rFonts w:ascii="Calibri" w:eastAsia="Times New Roman" w:hAnsi="Calibri"/>
                <w:color w:val="000000"/>
                <w:sz w:val="16"/>
                <w:szCs w:val="16"/>
              </w:rPr>
            </w:pPr>
            <w:r w:rsidRPr="002A7538">
              <w:rPr>
                <w:rFonts w:ascii="Calibri" w:hAnsi="Calibri"/>
                <w:color w:val="000000"/>
                <w:sz w:val="16"/>
              </w:rPr>
              <w:t>(περιγραφή προκήρυξης)</w:t>
            </w:r>
          </w:p>
        </w:tc>
      </w:tr>
      <w:tr w:rsidR="0031423D" w:rsidRPr="002A7538" w:rsidTr="00632FD5">
        <w:trPr>
          <w:trHeight w:val="283"/>
        </w:trPr>
        <w:tc>
          <w:tcPr>
            <w:tcW w:w="790" w:type="pct"/>
            <w:vMerge w:val="restart"/>
            <w:noWrap/>
            <w:vAlign w:val="center"/>
            <w:hideMark/>
          </w:tcPr>
          <w:p w:rsidR="0031423D" w:rsidRPr="002A7538" w:rsidRDefault="0031423D" w:rsidP="00632FD5">
            <w:pPr>
              <w:spacing w:before="0" w:after="0"/>
              <w:jc w:val="left"/>
              <w:rPr>
                <w:rFonts w:eastAsia="Times New Roman"/>
                <w:color w:val="000000"/>
                <w:sz w:val="16"/>
                <w:szCs w:val="16"/>
              </w:rPr>
            </w:pPr>
            <w:r w:rsidRPr="002A7538">
              <w:rPr>
                <w:color w:val="000000"/>
                <w:sz w:val="16"/>
              </w:rPr>
              <w:t>Προγραμματισμός</w:t>
            </w:r>
          </w:p>
        </w:tc>
        <w:tc>
          <w:tcPr>
            <w:tcW w:w="86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1</w:t>
            </w:r>
          </w:p>
        </w:tc>
        <w:tc>
          <w:tcPr>
            <w:tcW w:w="160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Άρθρο 48 παράγραφος 1 της οδηγίας 2014/24/ΕΕ</w:t>
            </w:r>
          </w:p>
        </w:tc>
        <w:tc>
          <w:tcPr>
            <w:tcW w:w="1746" w:type="pct"/>
            <w:vAlign w:val="center"/>
          </w:tcPr>
          <w:p w:rsidR="0031423D" w:rsidRPr="002A7538" w:rsidRDefault="0031423D" w:rsidP="00632FD5">
            <w:pPr>
              <w:spacing w:before="0" w:after="0"/>
              <w:jc w:val="center"/>
              <w:rPr>
                <w:rFonts w:asciiTheme="minorHAnsi" w:eastAsia="Times New Roman" w:hAnsiTheme="minorHAnsi"/>
                <w:color w:val="000000"/>
                <w:sz w:val="16"/>
                <w:szCs w:val="16"/>
              </w:rPr>
            </w:pPr>
            <w:r w:rsidRPr="002A7538">
              <w:rPr>
                <w:rFonts w:ascii="Calibri" w:hAnsi="Calibri"/>
                <w:color w:val="000000"/>
                <w:sz w:val="16"/>
              </w:rPr>
              <w:t xml:space="preserve">Γνωστοποίηση της δημοσίευσης προκαταρκτικής προκήρυξης στο «προφίλ αγοραστή» </w:t>
            </w:r>
            <w:r w:rsidRPr="002A7538">
              <w:rPr>
                <w:rFonts w:ascii="Calibri" w:hAnsi="Calibri"/>
                <w:color w:val="000000"/>
                <w:sz w:val="16"/>
                <w:szCs w:val="16"/>
              </w:rPr>
              <w:br/>
            </w:r>
            <w:r w:rsidRPr="002A7538">
              <w:rPr>
                <w:rFonts w:ascii="Calibri" w:hAnsi="Calibri"/>
                <w:color w:val="000000"/>
                <w:sz w:val="16"/>
              </w:rPr>
              <w:t>– γενική οδηγία</w:t>
            </w:r>
          </w:p>
        </w:tc>
      </w:tr>
      <w:tr w:rsidR="0031423D" w:rsidRPr="002A7538" w:rsidTr="00632FD5">
        <w:trPr>
          <w:trHeight w:val="283"/>
        </w:trPr>
        <w:tc>
          <w:tcPr>
            <w:tcW w:w="790" w:type="pct"/>
            <w:vMerge/>
            <w:noWrap/>
            <w:vAlign w:val="center"/>
            <w:hideMark/>
          </w:tcPr>
          <w:p w:rsidR="0031423D" w:rsidRPr="002A7538" w:rsidRDefault="0031423D" w:rsidP="00632FD5">
            <w:pPr>
              <w:spacing w:before="0" w:after="0"/>
              <w:jc w:val="left"/>
              <w:rPr>
                <w:rFonts w:eastAsia="Times New Roman"/>
                <w:color w:val="000000"/>
                <w:sz w:val="16"/>
                <w:szCs w:val="16"/>
              </w:rPr>
            </w:pPr>
          </w:p>
        </w:tc>
        <w:tc>
          <w:tcPr>
            <w:tcW w:w="86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2</w:t>
            </w:r>
          </w:p>
        </w:tc>
        <w:tc>
          <w:tcPr>
            <w:tcW w:w="160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Άρθρο 67 παράγραφος 1 της οδηγίας 2014/25/ΕΕ</w:t>
            </w:r>
          </w:p>
        </w:tc>
        <w:tc>
          <w:tcPr>
            <w:tcW w:w="1746" w:type="pct"/>
            <w:vAlign w:val="center"/>
          </w:tcPr>
          <w:p w:rsidR="0031423D" w:rsidRPr="002A7538" w:rsidRDefault="0031423D" w:rsidP="00632FD5">
            <w:pPr>
              <w:spacing w:before="0" w:after="0"/>
              <w:jc w:val="center"/>
              <w:rPr>
                <w:rFonts w:asciiTheme="minorHAnsi" w:eastAsia="Times New Roman" w:hAnsiTheme="minorHAnsi"/>
                <w:color w:val="000000"/>
                <w:sz w:val="16"/>
                <w:szCs w:val="16"/>
              </w:rPr>
            </w:pPr>
            <w:r w:rsidRPr="002A7538">
              <w:rPr>
                <w:rFonts w:ascii="Calibri" w:hAnsi="Calibri"/>
                <w:color w:val="000000"/>
                <w:sz w:val="16"/>
              </w:rPr>
              <w:t xml:space="preserve">Γνωστοποίηση της δημοσίευσης περιοδικής ενδεικτικής προκήρυξης στο «προφίλ αγοραστή» </w:t>
            </w:r>
            <w:r w:rsidRPr="002A7538">
              <w:rPr>
                <w:rFonts w:ascii="Calibri" w:hAnsi="Calibri"/>
                <w:color w:val="000000"/>
                <w:sz w:val="16"/>
                <w:szCs w:val="16"/>
              </w:rPr>
              <w:br/>
            </w:r>
            <w:r w:rsidRPr="002A7538">
              <w:rPr>
                <w:rFonts w:ascii="Calibri" w:hAnsi="Calibri"/>
                <w:color w:val="000000"/>
                <w:sz w:val="16"/>
              </w:rPr>
              <w:t>– τομεακή οδηγία</w:t>
            </w:r>
          </w:p>
        </w:tc>
      </w:tr>
      <w:tr w:rsidR="0031423D" w:rsidRPr="002A7538" w:rsidTr="00632FD5">
        <w:trPr>
          <w:trHeight w:val="283"/>
        </w:trPr>
        <w:tc>
          <w:tcPr>
            <w:tcW w:w="790" w:type="pct"/>
            <w:vMerge/>
            <w:noWrap/>
            <w:vAlign w:val="center"/>
            <w:hideMark/>
          </w:tcPr>
          <w:p w:rsidR="0031423D" w:rsidRPr="002A7538" w:rsidRDefault="0031423D" w:rsidP="00632FD5">
            <w:pPr>
              <w:spacing w:before="0" w:after="0"/>
              <w:jc w:val="left"/>
              <w:rPr>
                <w:rFonts w:eastAsia="Times New Roman"/>
                <w:color w:val="000000"/>
                <w:sz w:val="16"/>
                <w:szCs w:val="16"/>
              </w:rPr>
            </w:pPr>
          </w:p>
        </w:tc>
        <w:tc>
          <w:tcPr>
            <w:tcW w:w="86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3</w:t>
            </w:r>
          </w:p>
        </w:tc>
        <w:tc>
          <w:tcPr>
            <w:tcW w:w="1602" w:type="pct"/>
            <w:vAlign w:val="center"/>
          </w:tcPr>
          <w:p w:rsidR="0031423D" w:rsidRPr="002A7538" w:rsidRDefault="0031423D" w:rsidP="004344E0">
            <w:pPr>
              <w:spacing w:before="0" w:after="0"/>
              <w:jc w:val="center"/>
              <w:rPr>
                <w:rFonts w:ascii="Calibri" w:eastAsia="Times New Roman" w:hAnsi="Calibri"/>
                <w:color w:val="000000"/>
                <w:sz w:val="16"/>
                <w:szCs w:val="16"/>
              </w:rPr>
            </w:pPr>
            <w:r w:rsidRPr="002A7538">
              <w:rPr>
                <w:rFonts w:ascii="Calibri" w:hAnsi="Calibri"/>
                <w:color w:val="000000"/>
                <w:sz w:val="16"/>
              </w:rPr>
              <w:t>Άρθρο 30 παράγραφος 1 τρίτο εδάφιο της οδηγίας 2009/81/ΕΚ</w:t>
            </w:r>
          </w:p>
        </w:tc>
        <w:tc>
          <w:tcPr>
            <w:tcW w:w="1746" w:type="pct"/>
            <w:vAlign w:val="center"/>
          </w:tcPr>
          <w:p w:rsidR="0031423D" w:rsidRPr="002A7538" w:rsidRDefault="0031423D" w:rsidP="00632FD5">
            <w:pPr>
              <w:spacing w:before="0" w:after="0"/>
              <w:jc w:val="center"/>
              <w:rPr>
                <w:rFonts w:asciiTheme="minorHAnsi" w:eastAsia="Times New Roman" w:hAnsiTheme="minorHAnsi"/>
                <w:color w:val="000000"/>
                <w:sz w:val="16"/>
                <w:szCs w:val="16"/>
              </w:rPr>
            </w:pPr>
            <w:r w:rsidRPr="002A7538">
              <w:rPr>
                <w:rFonts w:ascii="Calibri" w:hAnsi="Calibri"/>
                <w:color w:val="000000"/>
                <w:sz w:val="16"/>
              </w:rPr>
              <w:t xml:space="preserve">Γνωστοποίηση της δημοσίευσης προκαταρκτικής προκήρυξης στο «προφίλ αγοραστή» </w:t>
            </w:r>
            <w:r w:rsidRPr="002A7538">
              <w:rPr>
                <w:rFonts w:ascii="Calibri" w:hAnsi="Calibri"/>
                <w:color w:val="000000"/>
                <w:sz w:val="16"/>
                <w:szCs w:val="16"/>
              </w:rPr>
              <w:br/>
            </w:r>
            <w:r w:rsidRPr="002A7538">
              <w:rPr>
                <w:rFonts w:ascii="Calibri" w:hAnsi="Calibri"/>
                <w:color w:val="000000"/>
                <w:sz w:val="16"/>
              </w:rPr>
              <w:t>– οδηγία για την άμυνα</w:t>
            </w:r>
          </w:p>
        </w:tc>
      </w:tr>
      <w:tr w:rsidR="0031423D" w:rsidRPr="002A7538" w:rsidTr="00632FD5">
        <w:trPr>
          <w:trHeight w:val="283"/>
        </w:trPr>
        <w:tc>
          <w:tcPr>
            <w:tcW w:w="790" w:type="pct"/>
            <w:vMerge/>
            <w:noWrap/>
            <w:vAlign w:val="center"/>
            <w:hideMark/>
          </w:tcPr>
          <w:p w:rsidR="0031423D" w:rsidRPr="002A7538" w:rsidRDefault="0031423D" w:rsidP="00632FD5">
            <w:pPr>
              <w:spacing w:before="0" w:after="0"/>
              <w:jc w:val="left"/>
              <w:rPr>
                <w:rFonts w:eastAsia="Times New Roman"/>
                <w:color w:val="000000"/>
                <w:sz w:val="16"/>
                <w:szCs w:val="16"/>
              </w:rPr>
            </w:pPr>
          </w:p>
        </w:tc>
        <w:tc>
          <w:tcPr>
            <w:tcW w:w="86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4</w:t>
            </w:r>
          </w:p>
        </w:tc>
        <w:tc>
          <w:tcPr>
            <w:tcW w:w="160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Άρθρο 48 παράγραφος 1 της οδηγίας 2014/24/ΕΕ</w:t>
            </w:r>
          </w:p>
        </w:tc>
        <w:tc>
          <w:tcPr>
            <w:tcW w:w="1746" w:type="pct"/>
            <w:vAlign w:val="center"/>
          </w:tcPr>
          <w:p w:rsidR="0031423D" w:rsidRPr="002A7538" w:rsidRDefault="0031423D" w:rsidP="00632FD5">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Προκαταρκτική προκήρυξη που χρησιμοποιείται μόνο για πληροφορίες – γενική οδηγία</w:t>
            </w:r>
          </w:p>
        </w:tc>
      </w:tr>
      <w:tr w:rsidR="0031423D" w:rsidRPr="002A7538" w:rsidTr="00632FD5">
        <w:trPr>
          <w:trHeight w:val="283"/>
        </w:trPr>
        <w:tc>
          <w:tcPr>
            <w:tcW w:w="790" w:type="pct"/>
            <w:vMerge/>
            <w:noWrap/>
            <w:vAlign w:val="center"/>
          </w:tcPr>
          <w:p w:rsidR="0031423D" w:rsidRPr="002A7538" w:rsidRDefault="0031423D" w:rsidP="00632FD5">
            <w:pPr>
              <w:spacing w:before="0" w:after="0"/>
              <w:jc w:val="left"/>
              <w:rPr>
                <w:rFonts w:eastAsia="Times New Roman"/>
                <w:color w:val="000000"/>
                <w:sz w:val="16"/>
                <w:szCs w:val="16"/>
              </w:rPr>
            </w:pPr>
          </w:p>
        </w:tc>
        <w:tc>
          <w:tcPr>
            <w:tcW w:w="86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5</w:t>
            </w:r>
          </w:p>
        </w:tc>
        <w:tc>
          <w:tcPr>
            <w:tcW w:w="160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Άρθρο 67 παράγραφος 1 της οδηγίας 2014/25/ΕΕ</w:t>
            </w:r>
          </w:p>
        </w:tc>
        <w:tc>
          <w:tcPr>
            <w:tcW w:w="1746" w:type="pct"/>
            <w:vAlign w:val="center"/>
          </w:tcPr>
          <w:p w:rsidR="0031423D" w:rsidRPr="002A7538" w:rsidRDefault="0031423D" w:rsidP="00632FD5">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Περιοδική ενδεικτική προκήρυξη που χρησιμοποιείται μόνο για πληροφορίες – τομεακή οδηγία</w:t>
            </w:r>
          </w:p>
        </w:tc>
      </w:tr>
      <w:tr w:rsidR="0031423D" w:rsidRPr="002A7538" w:rsidTr="00632FD5">
        <w:trPr>
          <w:trHeight w:val="283"/>
        </w:trPr>
        <w:tc>
          <w:tcPr>
            <w:tcW w:w="790" w:type="pct"/>
            <w:vMerge/>
            <w:noWrap/>
            <w:vAlign w:val="center"/>
          </w:tcPr>
          <w:p w:rsidR="0031423D" w:rsidRPr="002A7538" w:rsidRDefault="0031423D" w:rsidP="00632FD5">
            <w:pPr>
              <w:spacing w:before="0" w:after="0"/>
              <w:jc w:val="left"/>
              <w:rPr>
                <w:rFonts w:eastAsia="Times New Roman"/>
                <w:color w:val="000000"/>
                <w:sz w:val="16"/>
                <w:szCs w:val="16"/>
              </w:rPr>
            </w:pPr>
          </w:p>
        </w:tc>
        <w:tc>
          <w:tcPr>
            <w:tcW w:w="86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6</w:t>
            </w:r>
          </w:p>
        </w:tc>
        <w:tc>
          <w:tcPr>
            <w:tcW w:w="160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Άρθρο 30 παράγραφος 1 της οδηγίας 2009/81/ΕΚ</w:t>
            </w:r>
          </w:p>
        </w:tc>
        <w:tc>
          <w:tcPr>
            <w:tcW w:w="1746" w:type="pct"/>
            <w:vAlign w:val="center"/>
          </w:tcPr>
          <w:p w:rsidR="0031423D" w:rsidRPr="002A7538" w:rsidRDefault="0031423D" w:rsidP="00632FD5">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Προκαταρκτική προκήρυξη που χρησιμοποιείται μόνο για πληροφορίες – οδηγία για την άμυνα</w:t>
            </w:r>
          </w:p>
        </w:tc>
      </w:tr>
      <w:tr w:rsidR="0031423D" w:rsidRPr="002A7538" w:rsidTr="00632FD5">
        <w:trPr>
          <w:trHeight w:val="283"/>
        </w:trPr>
        <w:tc>
          <w:tcPr>
            <w:tcW w:w="790" w:type="pct"/>
            <w:vMerge/>
            <w:noWrap/>
            <w:vAlign w:val="center"/>
          </w:tcPr>
          <w:p w:rsidR="0031423D" w:rsidRPr="002A7538" w:rsidRDefault="0031423D" w:rsidP="00632FD5">
            <w:pPr>
              <w:spacing w:before="0" w:after="0"/>
              <w:jc w:val="left"/>
              <w:rPr>
                <w:rFonts w:eastAsia="Times New Roman"/>
                <w:color w:val="000000"/>
                <w:sz w:val="16"/>
                <w:szCs w:val="16"/>
              </w:rPr>
            </w:pPr>
          </w:p>
        </w:tc>
        <w:tc>
          <w:tcPr>
            <w:tcW w:w="86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7</w:t>
            </w:r>
          </w:p>
        </w:tc>
        <w:tc>
          <w:tcPr>
            <w:tcW w:w="160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 xml:space="preserve">Άρθρο 27 παράγραφος 2 της οδηγίας 2014/24/ΕΕ, </w:t>
            </w:r>
            <w:r w:rsidRPr="002A7538">
              <w:rPr>
                <w:rFonts w:ascii="Calibri" w:eastAsia="Times New Roman" w:hAnsi="Calibri"/>
                <w:color w:val="000000"/>
                <w:sz w:val="16"/>
                <w:szCs w:val="16"/>
              </w:rPr>
              <w:br/>
            </w:r>
            <w:r w:rsidRPr="002A7538">
              <w:rPr>
                <w:rFonts w:ascii="Calibri" w:hAnsi="Calibri"/>
                <w:color w:val="000000"/>
                <w:sz w:val="16"/>
              </w:rPr>
              <w:t>Άρθρο 28 παράγραφος 3 της οδηγίας 2014/24/ΕΕ</w:t>
            </w:r>
          </w:p>
        </w:tc>
        <w:tc>
          <w:tcPr>
            <w:tcW w:w="1746" w:type="pct"/>
            <w:vAlign w:val="center"/>
          </w:tcPr>
          <w:p w:rsidR="0031423D" w:rsidRPr="002A7538" w:rsidRDefault="0031423D" w:rsidP="00632FD5">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Προκαταρκτική προκήρυξη που χρησιμοποιείται για τη συντόμευση των προθεσμιών για την παραλαβή των προσφορών – γενική οδηγία</w:t>
            </w:r>
          </w:p>
        </w:tc>
      </w:tr>
      <w:tr w:rsidR="0031423D" w:rsidRPr="002A7538" w:rsidTr="00632FD5">
        <w:trPr>
          <w:trHeight w:val="283"/>
        </w:trPr>
        <w:tc>
          <w:tcPr>
            <w:tcW w:w="790" w:type="pct"/>
            <w:vMerge/>
            <w:noWrap/>
            <w:vAlign w:val="center"/>
          </w:tcPr>
          <w:p w:rsidR="0031423D" w:rsidRPr="002A7538" w:rsidRDefault="0031423D" w:rsidP="00632FD5">
            <w:pPr>
              <w:spacing w:before="0" w:after="0"/>
              <w:jc w:val="left"/>
              <w:rPr>
                <w:rFonts w:eastAsia="Times New Roman"/>
                <w:color w:val="000000"/>
                <w:sz w:val="16"/>
                <w:szCs w:val="16"/>
              </w:rPr>
            </w:pPr>
          </w:p>
        </w:tc>
        <w:tc>
          <w:tcPr>
            <w:tcW w:w="86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8</w:t>
            </w:r>
          </w:p>
        </w:tc>
        <w:tc>
          <w:tcPr>
            <w:tcW w:w="160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Άρθρο 45 παράγραφος 2 της οδηγίας 2014/25/ΕΕ</w:t>
            </w:r>
          </w:p>
        </w:tc>
        <w:tc>
          <w:tcPr>
            <w:tcW w:w="1746" w:type="pct"/>
            <w:vAlign w:val="center"/>
          </w:tcPr>
          <w:p w:rsidR="0031423D" w:rsidRPr="002A7538" w:rsidRDefault="0031423D" w:rsidP="00632FD5">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Περιοδική ενδεικτική προκήρυξη που χρησιμοποιείται για τη συντόμευση των προθεσμιών για την παραλαβή των προσφορών – τομεακή οδηγία</w:t>
            </w:r>
          </w:p>
        </w:tc>
      </w:tr>
      <w:tr w:rsidR="0031423D" w:rsidRPr="002A7538" w:rsidTr="00632FD5">
        <w:trPr>
          <w:trHeight w:val="283"/>
        </w:trPr>
        <w:tc>
          <w:tcPr>
            <w:tcW w:w="790" w:type="pct"/>
            <w:vMerge/>
            <w:noWrap/>
            <w:vAlign w:val="center"/>
          </w:tcPr>
          <w:p w:rsidR="0031423D" w:rsidRPr="002A7538" w:rsidRDefault="0031423D" w:rsidP="00632FD5">
            <w:pPr>
              <w:spacing w:before="0" w:after="0"/>
              <w:jc w:val="left"/>
              <w:rPr>
                <w:rFonts w:eastAsia="Times New Roman"/>
                <w:color w:val="000000"/>
                <w:sz w:val="16"/>
                <w:szCs w:val="16"/>
              </w:rPr>
            </w:pPr>
          </w:p>
        </w:tc>
        <w:tc>
          <w:tcPr>
            <w:tcW w:w="86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9</w:t>
            </w:r>
          </w:p>
        </w:tc>
        <w:tc>
          <w:tcPr>
            <w:tcW w:w="1602" w:type="pct"/>
            <w:vAlign w:val="center"/>
          </w:tcPr>
          <w:p w:rsidR="0031423D" w:rsidRPr="002A7538" w:rsidRDefault="0031423D" w:rsidP="00632FD5">
            <w:pPr>
              <w:spacing w:before="0" w:after="0"/>
              <w:jc w:val="center"/>
              <w:rPr>
                <w:rFonts w:ascii="Calibri" w:eastAsia="Times New Roman" w:hAnsi="Calibri"/>
                <w:color w:val="000000"/>
                <w:sz w:val="16"/>
                <w:szCs w:val="16"/>
              </w:rPr>
            </w:pPr>
            <w:r w:rsidRPr="002A7538">
              <w:rPr>
                <w:rFonts w:ascii="Calibri" w:hAnsi="Calibri"/>
                <w:color w:val="000000"/>
                <w:sz w:val="16"/>
              </w:rPr>
              <w:t>Άρθρο 33 παράγραφος 3 της οδηγίας 2009/81/ΕΚ</w:t>
            </w:r>
          </w:p>
        </w:tc>
        <w:tc>
          <w:tcPr>
            <w:tcW w:w="1746" w:type="pct"/>
            <w:vAlign w:val="center"/>
          </w:tcPr>
          <w:p w:rsidR="0031423D" w:rsidRPr="002A7538" w:rsidRDefault="0031423D" w:rsidP="0031423D">
            <w:pPr>
              <w:spacing w:before="0" w:after="0"/>
              <w:jc w:val="center"/>
              <w:rPr>
                <w:rFonts w:ascii="Calibri" w:hAnsi="Calibri"/>
                <w:color w:val="000000"/>
                <w:sz w:val="16"/>
                <w:szCs w:val="16"/>
              </w:rPr>
            </w:pPr>
            <w:r w:rsidRPr="002A7538">
              <w:rPr>
                <w:rFonts w:ascii="Calibri" w:hAnsi="Calibri"/>
                <w:color w:val="000000"/>
                <w:sz w:val="16"/>
              </w:rPr>
              <w:t>Προκαταρκτική προκήρυξη που χρησιμοποιείται για τη συντόμευση των προθεσμιών για την παραλαβή των προσφορών – οδηγία για την άμυνα</w:t>
            </w:r>
          </w:p>
        </w:tc>
      </w:tr>
      <w:tr w:rsidR="00DD0DA3" w:rsidRPr="002A7538" w:rsidTr="00632FD5">
        <w:trPr>
          <w:trHeight w:val="283"/>
        </w:trPr>
        <w:tc>
          <w:tcPr>
            <w:tcW w:w="790" w:type="pct"/>
            <w:vMerge w:val="restart"/>
            <w:noWrap/>
            <w:vAlign w:val="center"/>
          </w:tcPr>
          <w:p w:rsidR="00DD0DA3" w:rsidRPr="002A7538" w:rsidRDefault="00DD0DA3" w:rsidP="00DD0DA3">
            <w:pPr>
              <w:spacing w:before="0" w:after="0"/>
              <w:jc w:val="left"/>
              <w:rPr>
                <w:rFonts w:eastAsia="Times New Roman"/>
                <w:color w:val="000000"/>
                <w:sz w:val="16"/>
                <w:szCs w:val="16"/>
              </w:rPr>
            </w:pPr>
            <w:r w:rsidRPr="002A7538">
              <w:rPr>
                <w:color w:val="000000"/>
                <w:sz w:val="16"/>
              </w:rPr>
              <w:t xml:space="preserve">Διαγωνισμός </w:t>
            </w: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10</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48 παράγραφος 2 της οδηγίας 2014/24/ΕΕ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 xml:space="preserve">Προκαταρκτική προκήρυξη που χρησιμοποιείται ως προκήρυξη διαγωνισμού </w:t>
            </w:r>
            <w:r w:rsidRPr="002A7538">
              <w:rPr>
                <w:rFonts w:ascii="Calibri" w:hAnsi="Calibri"/>
                <w:color w:val="000000"/>
                <w:sz w:val="16"/>
                <w:szCs w:val="16"/>
              </w:rPr>
              <w:br/>
            </w:r>
            <w:r w:rsidRPr="002A7538">
              <w:rPr>
                <w:rFonts w:ascii="Calibri" w:hAnsi="Calibri"/>
                <w:color w:val="000000"/>
                <w:sz w:val="16"/>
              </w:rPr>
              <w:t>– γενική οδηγία, τυποποιημένο καθεστώς</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11</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67 παράγραφος 2 της οδηγίας 2014/25/ΕΕ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 xml:space="preserve">Περιοδική ενδεικτική προκήρυξη που χρησιμοποιείται ως προκήρυξη διαγωνισμού </w:t>
            </w:r>
            <w:r w:rsidRPr="002A7538">
              <w:rPr>
                <w:rFonts w:ascii="Calibri" w:hAnsi="Calibri"/>
                <w:color w:val="000000"/>
                <w:sz w:val="16"/>
                <w:szCs w:val="16"/>
              </w:rPr>
              <w:br/>
            </w:r>
            <w:r w:rsidRPr="002A7538">
              <w:rPr>
                <w:rFonts w:ascii="Calibri" w:hAnsi="Calibri"/>
                <w:color w:val="000000"/>
                <w:sz w:val="16"/>
              </w:rPr>
              <w:t>– τομεακή οδηγία, τυποποιημένο καθεστώς</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12</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75 παράγραφος 1 στοιχείο β) της οδηγίας 2014/24/ΕΕ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 xml:space="preserve">Προκαταρκτική προκήρυξη που χρησιμοποιείται ως προκήρυξη διαγωνισμού </w:t>
            </w:r>
            <w:r w:rsidRPr="002A7538">
              <w:rPr>
                <w:rFonts w:ascii="Calibri" w:hAnsi="Calibri"/>
                <w:color w:val="000000"/>
                <w:sz w:val="16"/>
                <w:szCs w:val="16"/>
              </w:rPr>
              <w:br/>
            </w:r>
            <w:r w:rsidRPr="002A7538">
              <w:rPr>
                <w:rFonts w:ascii="Calibri" w:hAnsi="Calibri"/>
                <w:color w:val="000000"/>
                <w:sz w:val="16"/>
              </w:rPr>
              <w:t>– γενική οδηγία, απλοποιημένο καθεστώς</w:t>
            </w:r>
          </w:p>
        </w:tc>
      </w:tr>
      <w:tr w:rsidR="00DD0DA3" w:rsidRPr="002A7538" w:rsidTr="00632FD5">
        <w:trPr>
          <w:trHeight w:val="230"/>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13</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92 παράγραφος 1 στοιχείο β) της οδηγίας 2014/25/ΕΕ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 xml:space="preserve">Περιοδική ενδεικτική προκήρυξη που χρησιμοποιείται ως προκήρυξη διαγωνισμού </w:t>
            </w:r>
            <w:r w:rsidRPr="002A7538">
              <w:rPr>
                <w:rFonts w:ascii="Calibri" w:hAnsi="Calibri"/>
                <w:color w:val="000000"/>
                <w:sz w:val="16"/>
                <w:szCs w:val="16"/>
              </w:rPr>
              <w:br/>
            </w:r>
            <w:r w:rsidRPr="002A7538">
              <w:rPr>
                <w:rFonts w:ascii="Calibri" w:hAnsi="Calibri"/>
                <w:color w:val="000000"/>
                <w:sz w:val="16"/>
              </w:rPr>
              <w:t>– τομεακή οδηγία, απλοποιημένο καθεστώς</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14</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31 παράγραφος 3 της οδηγίας 2014/23/ΕΕ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 xml:space="preserve">Προκαταρκτική προκήρυξη που χρησιμοποιείται ως προκήρυξη διαγωνισμού </w:t>
            </w:r>
            <w:r w:rsidRPr="002A7538">
              <w:rPr>
                <w:rFonts w:ascii="Calibri" w:hAnsi="Calibri"/>
                <w:color w:val="000000"/>
                <w:sz w:val="16"/>
                <w:szCs w:val="16"/>
              </w:rPr>
              <w:br/>
            </w:r>
            <w:r w:rsidRPr="002A7538">
              <w:rPr>
                <w:rFonts w:ascii="Calibri" w:hAnsi="Calibri"/>
                <w:color w:val="000000"/>
                <w:sz w:val="16"/>
              </w:rPr>
              <w:t>– οδηγία σχετικά με τις συμβάσεις παραχώρησης, απλοποιημένο καθεστώς</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15</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 xml:space="preserve">Άρθρο 68 της οδηγίας 2014/25/ΕΕ, </w:t>
            </w:r>
            <w:r w:rsidRPr="002A7538">
              <w:rPr>
                <w:rFonts w:ascii="Calibri" w:eastAsia="Times New Roman" w:hAnsi="Calibri"/>
                <w:color w:val="000000"/>
                <w:sz w:val="16"/>
                <w:szCs w:val="16"/>
              </w:rPr>
              <w:br/>
            </w:r>
            <w:r w:rsidRPr="002A7538">
              <w:rPr>
                <w:rFonts w:ascii="Calibri" w:hAnsi="Calibri"/>
                <w:color w:val="000000"/>
                <w:sz w:val="16"/>
              </w:rPr>
              <w:t>Άρθρο 92 παράγραφος 1 στοιχείο γ) της οδηγίας 2014/25/ΕΕ</w:t>
            </w:r>
          </w:p>
        </w:tc>
        <w:tc>
          <w:tcPr>
            <w:tcW w:w="1746" w:type="pct"/>
            <w:vAlign w:val="center"/>
          </w:tcPr>
          <w:p w:rsidR="00DD0DA3" w:rsidRPr="002A7538" w:rsidRDefault="00DD0DA3" w:rsidP="00DD0DA3">
            <w:pPr>
              <w:spacing w:before="0" w:after="0"/>
              <w:jc w:val="center"/>
              <w:rPr>
                <w:rFonts w:ascii="Calibri" w:hAnsi="Calibri"/>
                <w:color w:val="000000"/>
                <w:sz w:val="16"/>
                <w:szCs w:val="16"/>
              </w:rPr>
            </w:pPr>
            <w:r w:rsidRPr="002A7538">
              <w:rPr>
                <w:rFonts w:ascii="Calibri" w:hAnsi="Calibri"/>
                <w:color w:val="000000"/>
                <w:sz w:val="16"/>
              </w:rPr>
              <w:t>Γνωστοποίηση για την ύπαρξη συστήματος προεπιλογής – τομεακή οδηγία</w:t>
            </w:r>
          </w:p>
        </w:tc>
      </w:tr>
      <w:tr w:rsidR="00DD0DA3" w:rsidRPr="002A7538" w:rsidTr="00632FD5">
        <w:trPr>
          <w:trHeight w:val="283"/>
        </w:trPr>
        <w:tc>
          <w:tcPr>
            <w:tcW w:w="790" w:type="pct"/>
            <w:vMerge/>
            <w:noWrap/>
            <w:vAlign w:val="center"/>
            <w:hideMark/>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16</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49 της οδηγίας 2014/24/ΕΕ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Προκήρυξη σύμβασης – γενική οδηγία, τυποποιημένο καθεστώς</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17</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69 της οδηγίας 2014/25/ΕΕ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Προκήρυξη σύμβασης – τομεακή οδηγία, τυποποιημένο καθεστώς</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18</w:t>
            </w:r>
          </w:p>
        </w:tc>
        <w:tc>
          <w:tcPr>
            <w:tcW w:w="1602" w:type="pct"/>
            <w:vAlign w:val="center"/>
          </w:tcPr>
          <w:p w:rsidR="00DD0DA3" w:rsidRPr="002A7538" w:rsidRDefault="00DD0DA3" w:rsidP="00676967">
            <w:pPr>
              <w:spacing w:before="0" w:after="0"/>
              <w:jc w:val="center"/>
              <w:rPr>
                <w:rFonts w:ascii="Calibri" w:eastAsia="Times New Roman" w:hAnsi="Calibri"/>
                <w:color w:val="000000"/>
                <w:sz w:val="16"/>
                <w:szCs w:val="16"/>
              </w:rPr>
            </w:pPr>
            <w:r w:rsidRPr="002A7538">
              <w:rPr>
                <w:rFonts w:ascii="Calibri" w:hAnsi="Calibri"/>
                <w:color w:val="000000"/>
                <w:sz w:val="16"/>
              </w:rPr>
              <w:t>Άρθρο 30 παράγραφος 2 της οδηγίας 2009/81/ΕΚ</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 xml:space="preserve">Προκήρυξη σύμβασης – οδηγία για την άμυνα, τυποποιημένο καθεστώς </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19</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31 παράγραφος 1 της οδηγίας 2014/23/ΕΕ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Προκήρυξη σύμβασης παραχώρησης – οδηγία για την άμυνα, τυποποιημένο καθεστώς</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20</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75 παράγραφος 1 στοιχείο α) της οδηγίας 2014/24/ΕΕ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Προκήρυξη σύμβασης – γενική οδηγία, απλοποιημένο καθεστώς</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21</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92 παράγραφος 1 στοιχείο α) της οδηγίας 2014/25/ΕΕ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Προκήρυξη σύμβασης – τομεακή οδηγία, απλοποιημένο καθεστώς</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22</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52 παράγραφος 1 της οδηγίας 2009/81/ΕΚ</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Προκήρυξη υπεργολαβίας – οδηγία για την άμυνα</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23</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79 παράγραφος 1 της οδηγίας 2014/24/ΕΕ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Προκήρυξη διαγωνισμού μελετών – γενική οδηγία, μελέτες</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24</w:t>
            </w:r>
          </w:p>
        </w:tc>
        <w:tc>
          <w:tcPr>
            <w:tcW w:w="1602" w:type="pct"/>
            <w:vAlign w:val="center"/>
          </w:tcPr>
          <w:p w:rsidR="00DD0DA3" w:rsidRPr="002A7538" w:rsidRDefault="00DD0DA3" w:rsidP="004344E0">
            <w:pPr>
              <w:spacing w:before="0" w:after="0"/>
              <w:jc w:val="center"/>
              <w:rPr>
                <w:rFonts w:ascii="Calibri" w:eastAsia="Times New Roman" w:hAnsi="Calibri"/>
                <w:color w:val="000000"/>
                <w:sz w:val="16"/>
                <w:szCs w:val="16"/>
              </w:rPr>
            </w:pPr>
            <w:r w:rsidRPr="002A7538">
              <w:rPr>
                <w:rFonts w:ascii="Calibri" w:hAnsi="Calibri"/>
                <w:color w:val="000000"/>
                <w:sz w:val="16"/>
              </w:rPr>
              <w:t>Άρθρο 96 παράγραφος 1 πρώτο εδάφιο της οδηγίας 2014/25/ΕΚ</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Προκήρυξη διαγωνισμού μελετών – τομεακή οδηγία, μελέτες</w:t>
            </w:r>
          </w:p>
        </w:tc>
      </w:tr>
      <w:tr w:rsidR="00DD0DA3" w:rsidRPr="002A7538" w:rsidTr="00632FD5">
        <w:trPr>
          <w:trHeight w:val="283"/>
        </w:trPr>
        <w:tc>
          <w:tcPr>
            <w:tcW w:w="790" w:type="pct"/>
            <w:vMerge w:val="restart"/>
            <w:noWrap/>
            <w:vAlign w:val="center"/>
          </w:tcPr>
          <w:p w:rsidR="00DD0DA3" w:rsidRPr="002A7538" w:rsidRDefault="00DD0DA3" w:rsidP="00C24E5F">
            <w:pPr>
              <w:spacing w:before="0" w:after="0"/>
              <w:jc w:val="left"/>
              <w:rPr>
                <w:rFonts w:eastAsia="Times New Roman"/>
                <w:color w:val="000000"/>
                <w:sz w:val="16"/>
                <w:szCs w:val="16"/>
              </w:rPr>
            </w:pPr>
            <w:proofErr w:type="spellStart"/>
            <w:r w:rsidRPr="002A7538">
              <w:rPr>
                <w:color w:val="000000"/>
                <w:sz w:val="16"/>
              </w:rPr>
              <w:t>Προκοινοποίηση</w:t>
            </w:r>
            <w:proofErr w:type="spellEnd"/>
            <w:r w:rsidRPr="002A7538">
              <w:rPr>
                <w:color w:val="000000"/>
                <w:sz w:val="16"/>
              </w:rPr>
              <w:t xml:space="preserve"> </w:t>
            </w:r>
            <w:r w:rsidR="00C24E5F" w:rsidRPr="002A7538">
              <w:rPr>
                <w:color w:val="000000"/>
                <w:sz w:val="16"/>
              </w:rPr>
              <w:t>απευθείας</w:t>
            </w:r>
            <w:r w:rsidRPr="002A7538">
              <w:rPr>
                <w:color w:val="000000"/>
                <w:sz w:val="16"/>
              </w:rPr>
              <w:t xml:space="preserve"> ανάθεσης </w:t>
            </w:r>
            <w:r w:rsidR="00C24E5F" w:rsidRPr="002A7538">
              <w:rPr>
                <w:color w:val="000000"/>
                <w:sz w:val="16"/>
              </w:rPr>
              <w:t>(ΠΑΑ)</w:t>
            </w: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25</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3α της οδηγίας 89/665/ΕΟΚ</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Προκήρυξη για εκούσια εκ των προτέρων διαφάνεια – γενική οδηγία</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26</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3α της οδηγίας 92/13/ΕΟΚ</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Προκήρυξη για εκούσια εκ των προτέρων διαφάνεια – τομεακή οδηγία</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27</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64 της οδηγίας 2009/81/ΕΚ</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Προκήρυξη για εκούσια εκ των προτέρων διαφάνεια – οδηγία για την άμυνα</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28</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3α των οδηγιών 89/665/ΕΟΚ και 92/13/ΕΟΚ</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Προκήρυξη για εκούσια εκ των προτέρων διαφάνεια – οδηγία σχετικά με τις συμβάσεις παραχώρησης</w:t>
            </w:r>
          </w:p>
        </w:tc>
      </w:tr>
      <w:tr w:rsidR="00DD0DA3" w:rsidRPr="002A7538" w:rsidTr="00632FD5">
        <w:trPr>
          <w:trHeight w:val="283"/>
        </w:trPr>
        <w:tc>
          <w:tcPr>
            <w:tcW w:w="790" w:type="pct"/>
            <w:vMerge w:val="restart"/>
            <w:noWrap/>
            <w:vAlign w:val="center"/>
            <w:hideMark/>
          </w:tcPr>
          <w:p w:rsidR="00DD0DA3" w:rsidRPr="002A7538" w:rsidRDefault="00DD0DA3" w:rsidP="00DD0DA3">
            <w:pPr>
              <w:spacing w:before="0" w:after="0"/>
              <w:jc w:val="left"/>
              <w:rPr>
                <w:rFonts w:eastAsia="Times New Roman"/>
                <w:color w:val="000000"/>
                <w:sz w:val="16"/>
                <w:szCs w:val="16"/>
              </w:rPr>
            </w:pPr>
            <w:r w:rsidRPr="002A7538">
              <w:rPr>
                <w:color w:val="000000"/>
                <w:sz w:val="16"/>
              </w:rPr>
              <w:t xml:space="preserve">Αποτέλεσμα </w:t>
            </w: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29</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50 της οδηγίας 2014/24/ΕΕ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Γνωστοποίηση συναφθείσας σύμβασης – γενική οδηγία, τυποποιημένο καθεστώς</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30</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70 της οδηγίας 2014/25/ΕΕ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Γνωστοποίηση συναφθείσας σύμβασης – τομεακή οδηγία, τυποποιημένο καθεστώς</w:t>
            </w:r>
          </w:p>
        </w:tc>
      </w:tr>
      <w:tr w:rsidR="00DD0DA3" w:rsidRPr="002A7538" w:rsidTr="00F86BE6">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31</w:t>
            </w:r>
          </w:p>
        </w:tc>
        <w:tc>
          <w:tcPr>
            <w:tcW w:w="1602" w:type="pct"/>
            <w:vAlign w:val="center"/>
          </w:tcPr>
          <w:p w:rsidR="00DD0DA3" w:rsidRPr="002A7538" w:rsidRDefault="00DD0DA3" w:rsidP="00676967">
            <w:pPr>
              <w:spacing w:before="0" w:after="0"/>
              <w:jc w:val="center"/>
              <w:rPr>
                <w:rFonts w:ascii="Calibri" w:eastAsia="Times New Roman" w:hAnsi="Calibri"/>
                <w:color w:val="000000"/>
                <w:sz w:val="16"/>
                <w:szCs w:val="16"/>
              </w:rPr>
            </w:pPr>
            <w:r w:rsidRPr="002A7538">
              <w:rPr>
                <w:rFonts w:ascii="Calibri" w:hAnsi="Calibri"/>
                <w:color w:val="000000"/>
                <w:sz w:val="16"/>
              </w:rPr>
              <w:t>Άρθρο 30 παράγραφος 3 της οδηγίας 2009/81/ΕΚ</w:t>
            </w:r>
          </w:p>
        </w:tc>
        <w:tc>
          <w:tcPr>
            <w:tcW w:w="1746" w:type="pct"/>
            <w:vAlign w:val="center"/>
          </w:tcPr>
          <w:p w:rsidR="00DD0DA3" w:rsidRPr="002A7538" w:rsidRDefault="00DD0DA3" w:rsidP="00DD0DA3">
            <w:pPr>
              <w:spacing w:before="0" w:after="0"/>
              <w:jc w:val="center"/>
              <w:rPr>
                <w:rFonts w:ascii="Calibri" w:hAnsi="Calibri"/>
                <w:color w:val="000000"/>
                <w:sz w:val="16"/>
                <w:szCs w:val="16"/>
              </w:rPr>
            </w:pPr>
            <w:r w:rsidRPr="002A7538">
              <w:rPr>
                <w:rFonts w:ascii="Calibri" w:hAnsi="Calibri"/>
                <w:color w:val="000000"/>
                <w:sz w:val="16"/>
              </w:rPr>
              <w:t>Γνωστοποίηση συναφθείσας σύμβασης – οδηγία για την άμυνα, τυποποιημένο καθεστώς</w:t>
            </w:r>
          </w:p>
        </w:tc>
      </w:tr>
      <w:tr w:rsidR="00DD0DA3" w:rsidRPr="002A7538" w:rsidTr="00F86BE6">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32</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32 παράγραφος 2 (παραπομπή στο παράρτημα VII) της οδηγίας 2014/23/ΕΕ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Γνωστοποίηση σύμβασης παραχώρησης – οδηγία σχετικά με τις συμβάσεις παραχώρησης, τυποποιημένο καθεστώς</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33</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75 παράγραφος 2 της οδηγίας 2014/24/ΕΕ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Γνωστοποίηση συναφθείσας σύμβασης – γενική οδηγία, απλοποιημένο καθεστώς</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34</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92 παράγραφος 2 της οδηγίας 2014/25/ΕΕ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Γνωστοποίηση συναφθείσας σύμβασης – τομεακή οδηγία, απλοποιημένο καθεστώς</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35</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32 παράγραφος 2 (παραπομπή στο παράρτημα VIΙI) της οδηγίας 2014/23/ΕΕ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Γνωστοποίηση σύμβασης παραχώρησης – οδηγία σχετικά με τις συμβάσεις παραχώρησης, απλοποιημένο καθεστώς</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36</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79 παράγραφος 2 της οδηγίας 2014/24/ΕΕ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Γνωστοποίηση αποτελέσματος διαγωνισμού μελετών – γενική οδηγία, μελέτες</w:t>
            </w:r>
          </w:p>
        </w:tc>
      </w:tr>
      <w:tr w:rsidR="00DD0DA3" w:rsidRPr="002A7538" w:rsidTr="00632FD5">
        <w:trPr>
          <w:trHeight w:val="283"/>
        </w:trPr>
        <w:tc>
          <w:tcPr>
            <w:tcW w:w="790" w:type="pct"/>
            <w:vMerge/>
            <w:noWrap/>
            <w:vAlign w:val="center"/>
            <w:hideMark/>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37</w:t>
            </w:r>
          </w:p>
        </w:tc>
        <w:tc>
          <w:tcPr>
            <w:tcW w:w="1602" w:type="pct"/>
            <w:vAlign w:val="center"/>
          </w:tcPr>
          <w:p w:rsidR="00DD0DA3" w:rsidRPr="002A7538" w:rsidRDefault="00DD0DA3" w:rsidP="004344E0">
            <w:pPr>
              <w:spacing w:before="0" w:after="0"/>
              <w:jc w:val="center"/>
              <w:rPr>
                <w:rFonts w:ascii="Calibri" w:eastAsia="Times New Roman" w:hAnsi="Calibri"/>
                <w:color w:val="000000"/>
                <w:sz w:val="16"/>
                <w:szCs w:val="16"/>
              </w:rPr>
            </w:pPr>
            <w:r w:rsidRPr="002A7538">
              <w:rPr>
                <w:rFonts w:ascii="Calibri" w:hAnsi="Calibri"/>
                <w:color w:val="000000"/>
                <w:sz w:val="16"/>
              </w:rPr>
              <w:t>Άρθρο 96 παράγραφος 1 δεύτερο εδάφιο της οδηγίας 2014/25/ΕΚ</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Calibri" w:hAnsi="Calibri"/>
                <w:color w:val="000000"/>
                <w:sz w:val="16"/>
              </w:rPr>
              <w:t>Γνωστοποίηση αποτελέσματος διαγωνισμού μελετών – τομεακή οδηγία, μελέτες</w:t>
            </w:r>
          </w:p>
        </w:tc>
      </w:tr>
      <w:tr w:rsidR="00DD0DA3" w:rsidRPr="002A7538" w:rsidTr="00632FD5">
        <w:trPr>
          <w:trHeight w:val="283"/>
        </w:trPr>
        <w:tc>
          <w:tcPr>
            <w:tcW w:w="790" w:type="pct"/>
            <w:vMerge w:val="restart"/>
            <w:noWrap/>
            <w:vAlign w:val="center"/>
          </w:tcPr>
          <w:p w:rsidR="00DD0DA3" w:rsidRPr="002A7538" w:rsidRDefault="00DD0DA3" w:rsidP="00DD0DA3">
            <w:pPr>
              <w:spacing w:before="0" w:after="0"/>
              <w:jc w:val="left"/>
              <w:rPr>
                <w:rFonts w:eastAsia="Times New Roman"/>
                <w:color w:val="000000"/>
                <w:sz w:val="16"/>
                <w:szCs w:val="16"/>
              </w:rPr>
            </w:pPr>
            <w:r w:rsidRPr="002A7538">
              <w:rPr>
                <w:color w:val="000000"/>
                <w:sz w:val="16"/>
              </w:rPr>
              <w:t xml:space="preserve">Τροποποίηση σύμβασης </w:t>
            </w: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38</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 xml:space="preserve">Άρθρο 72 παράγραφος 1 της οδηγίας 2014/24/ΕΕ </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Theme="minorHAnsi" w:hAnsiTheme="minorHAnsi"/>
                <w:color w:val="000000"/>
                <w:sz w:val="16"/>
              </w:rPr>
              <w:t>Γνωστοποίηση τροποποίησης σύμβασης – γενική οδηγία</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39</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89 παράγραφος 1 της οδηγίας 2014/25/ΕΕ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Theme="minorHAnsi" w:hAnsiTheme="minorHAnsi"/>
                <w:color w:val="000000"/>
                <w:sz w:val="16"/>
              </w:rPr>
              <w:t>Γνωστοποίηση τροποποίησης σύμβασης – τομεακή οδηγία</w:t>
            </w:r>
          </w:p>
        </w:tc>
      </w:tr>
      <w:tr w:rsidR="00DD0DA3" w:rsidRPr="002A7538" w:rsidTr="00632FD5">
        <w:trPr>
          <w:trHeight w:val="283"/>
        </w:trPr>
        <w:tc>
          <w:tcPr>
            <w:tcW w:w="790" w:type="pct"/>
            <w:vMerge/>
            <w:noWrap/>
            <w:vAlign w:val="center"/>
          </w:tcPr>
          <w:p w:rsidR="00DD0DA3" w:rsidRPr="002A7538" w:rsidRDefault="00DD0DA3" w:rsidP="00DD0DA3">
            <w:pPr>
              <w:spacing w:before="0" w:after="0"/>
              <w:jc w:val="left"/>
              <w:rPr>
                <w:rFonts w:eastAsia="Times New Roman"/>
                <w:color w:val="000000"/>
                <w:sz w:val="16"/>
                <w:szCs w:val="16"/>
              </w:rPr>
            </w:pP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Πίνακας 2, στήλη 40</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Άρθρο 43 παράγραφος 1 της οδηγίας 2014/23/ΕΕ</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Theme="minorHAnsi" w:hAnsiTheme="minorHAnsi"/>
                <w:color w:val="000000"/>
                <w:sz w:val="16"/>
              </w:rPr>
              <w:t>Γνωστοποίηση τροποποίησης σύμβασης – οδηγία σχετικά με τις συμβάσεις παραχώρησης</w:t>
            </w:r>
          </w:p>
        </w:tc>
      </w:tr>
      <w:tr w:rsidR="00DD0DA3" w:rsidRPr="002A7538" w:rsidTr="00632FD5">
        <w:trPr>
          <w:trHeight w:val="283"/>
        </w:trPr>
        <w:tc>
          <w:tcPr>
            <w:tcW w:w="790" w:type="pct"/>
            <w:noWrap/>
            <w:vAlign w:val="center"/>
          </w:tcPr>
          <w:p w:rsidR="00DD0DA3" w:rsidRPr="002A7538" w:rsidRDefault="00DD0DA3" w:rsidP="00DD0DA3">
            <w:pPr>
              <w:spacing w:before="0" w:after="0"/>
              <w:jc w:val="left"/>
              <w:rPr>
                <w:rFonts w:eastAsia="Times New Roman"/>
                <w:color w:val="000000"/>
                <w:sz w:val="16"/>
                <w:szCs w:val="16"/>
              </w:rPr>
            </w:pPr>
            <w:r w:rsidRPr="002A7538">
              <w:rPr>
                <w:color w:val="000000"/>
                <w:sz w:val="16"/>
              </w:rPr>
              <w:t>Αλλαγή</w:t>
            </w:r>
          </w:p>
        </w:tc>
        <w:tc>
          <w:tcPr>
            <w:tcW w:w="86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κάθε άλλο τυποποιημένο έντυπο, καθώς και τα τμήματα Προκήρυξη και Αλλαγή από τον πίνακα 2</w:t>
            </w:r>
          </w:p>
        </w:tc>
        <w:tc>
          <w:tcPr>
            <w:tcW w:w="1602" w:type="pct"/>
            <w:vAlign w:val="center"/>
          </w:tcPr>
          <w:p w:rsidR="00DD0DA3" w:rsidRPr="002A7538" w:rsidRDefault="00DD0DA3" w:rsidP="00DD0DA3">
            <w:pPr>
              <w:spacing w:before="0" w:after="0"/>
              <w:jc w:val="center"/>
              <w:rPr>
                <w:rFonts w:ascii="Calibri" w:eastAsia="Times New Roman" w:hAnsi="Calibri"/>
                <w:color w:val="000000"/>
                <w:sz w:val="16"/>
                <w:szCs w:val="16"/>
              </w:rPr>
            </w:pPr>
            <w:r w:rsidRPr="002A7538">
              <w:rPr>
                <w:rFonts w:ascii="Calibri" w:hAnsi="Calibri"/>
                <w:color w:val="000000"/>
                <w:sz w:val="16"/>
              </w:rPr>
              <w:t>αλλαγή σε οποιαδήποτε από τις προκηρύξεις που αναφέρονται ανωτέρω</w:t>
            </w:r>
          </w:p>
        </w:tc>
        <w:tc>
          <w:tcPr>
            <w:tcW w:w="1746" w:type="pct"/>
            <w:vAlign w:val="center"/>
          </w:tcPr>
          <w:p w:rsidR="00DD0DA3" w:rsidRPr="002A7538" w:rsidRDefault="00DD0DA3" w:rsidP="00DD0DA3">
            <w:pPr>
              <w:spacing w:before="0" w:after="0"/>
              <w:jc w:val="center"/>
              <w:rPr>
                <w:rFonts w:asciiTheme="minorHAnsi" w:eastAsia="Times New Roman" w:hAnsiTheme="minorHAnsi"/>
                <w:color w:val="000000"/>
                <w:sz w:val="16"/>
                <w:szCs w:val="16"/>
              </w:rPr>
            </w:pPr>
            <w:r w:rsidRPr="002A7538">
              <w:rPr>
                <w:rFonts w:asciiTheme="minorHAnsi" w:hAnsiTheme="minorHAnsi"/>
                <w:color w:val="000000"/>
                <w:sz w:val="16"/>
              </w:rPr>
              <w:t>Γνωστοποίηση αλλαγής</w:t>
            </w:r>
          </w:p>
        </w:tc>
      </w:tr>
    </w:tbl>
    <w:p w:rsidR="006340BB" w:rsidRPr="002A7538" w:rsidRDefault="006340BB" w:rsidP="006340BB">
      <w:pPr>
        <w:spacing w:before="0" w:after="200" w:line="276" w:lineRule="auto"/>
        <w:jc w:val="left"/>
        <w:rPr>
          <w:b/>
          <w:bCs/>
          <w:color w:val="444444"/>
          <w:sz w:val="27"/>
          <w:szCs w:val="27"/>
        </w:rPr>
        <w:sectPr w:rsidR="006340BB" w:rsidRPr="002A7538" w:rsidSect="00DE3405">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pPr>
    </w:p>
    <w:p w:rsidR="006340BB" w:rsidRPr="002A7538" w:rsidRDefault="006340BB" w:rsidP="006340BB">
      <w:pPr>
        <w:pStyle w:val="ManualHeading1"/>
      </w:pPr>
      <w:r w:rsidRPr="002A7538">
        <w:t>πεδία</w:t>
      </w:r>
    </w:p>
    <w:p w:rsidR="006340BB" w:rsidRPr="002A7538" w:rsidRDefault="006340BB" w:rsidP="006340BB">
      <w:r w:rsidRPr="002A7538">
        <w:t>Τα τυποποιημένα έντυπα περιέχουν υποχρεωτικά και προαιρετικά πεδία, όπως αναφέρεται στον πίνακα 2.</w:t>
      </w:r>
    </w:p>
    <w:p w:rsidR="006340BB" w:rsidRPr="002A7538" w:rsidRDefault="006340BB" w:rsidP="009131B4">
      <w:pPr>
        <w:pStyle w:val="Point1letter"/>
        <w:numPr>
          <w:ilvl w:val="3"/>
          <w:numId w:val="9"/>
        </w:numPr>
      </w:pPr>
      <w:r w:rsidRPr="002A7538">
        <w:t>Τα υποχρεωτικά πεδία πρέπει να συμπληρώνονται, εκτός εάν πληρούνται ορισμένες προϋποθέσεις (βλ. κατωτέρω). Στον πίνακα 2 (στήλες 1-36), τα πεδία σημειώνονται ως «Υ».</w:t>
      </w:r>
    </w:p>
    <w:p w:rsidR="006340BB" w:rsidRPr="002A7538" w:rsidRDefault="006340BB" w:rsidP="006340BB">
      <w:pPr>
        <w:pStyle w:val="Point1letter"/>
      </w:pPr>
      <w:r w:rsidRPr="002A7538">
        <w:t>Τα προαιρετικά πεδία μπορούν να συμπληρωθούν. Στον πίνακα 2 (στήλες 1-40), τα πεδία σημειώνονται ως «Π».</w:t>
      </w:r>
    </w:p>
    <w:p w:rsidR="006340BB" w:rsidRPr="002A7538" w:rsidRDefault="006340BB" w:rsidP="006340BB">
      <w:pPr>
        <w:pStyle w:val="Point1letter"/>
      </w:pPr>
      <w:r w:rsidRPr="002A7538">
        <w:t xml:space="preserve">Τα πεδία ομαδοποιούνται σε τμήματα. Στον πίνακα 2 (στήλη «Τύπος δεδομένων»), τα τμήματα επισημαίνονται με «-». </w:t>
      </w:r>
    </w:p>
    <w:p w:rsidR="003B32AE" w:rsidRPr="002A7538" w:rsidRDefault="006340BB" w:rsidP="006340BB">
      <w:pPr>
        <w:spacing w:before="0" w:after="200" w:line="276" w:lineRule="auto"/>
      </w:pPr>
      <w:r w:rsidRPr="002A7538">
        <w:t>Οι μορφότυποι και οι διαδικασίες για την αποστολή προκηρύξεων και γνωστοποιήσεων, όπως ορίζεται στο σημείο 3 του παραρτήματος VIII της οδηγίας 2014/24/ΕΕ, του παραρτήματος IX της οδηγίας 2014/25/ΕΕ και του παραρτήματος VI της οδηγίας 2009/81/ΕΚ και στο σημείο 2 του παραρτήματος IX  της οδηγίας 2014/23/ΕΕ, περιλαμβάνουν όρους υπό τους οποίους δεν ισχύουν τα υποχρεωτικά πεδία. Οι όροι αυτοί λαμβάνουν υπόψη αποκλειστικά το πλαίσιο συγκεκριμένης προκήρυξης/γνωστοποίησης ή διαδικασίας (για παράδειγμα, τα πεδία για τις συμφωνίες-πλαίσια δεν είναι υποχρεωτικά αν μια διαδικασία δεν περιλαμβάνει συμφωνία-πλαίσιο).</w:t>
      </w:r>
    </w:p>
    <w:p w:rsidR="003B32AE" w:rsidRPr="002A7538" w:rsidRDefault="006340BB" w:rsidP="006340BB">
      <w:pPr>
        <w:spacing w:before="0" w:after="200" w:line="276" w:lineRule="auto"/>
      </w:pPr>
      <w:r w:rsidRPr="002A7538">
        <w:t xml:space="preserve">Οι μορφότυποι και οι διαδικασίες για την αποστολή προκηρύξεων και γνωστοποιήσεων καθορίζουν επίσης ποια πεδία είναι υποχρεωτικά και ποια προαιρετικά για τις προκηρύξεις/γνωστοποιήσεις που δημοσιεύονται σύμφωνα με το άρθρο 51 παράγραφος 6 της οδηγίας 2014/24/ΕΕ, το άρθρο 71 παράγραφος 6 της οδηγίας 2014/25/ΕΕ και το άρθρο 31 της οδηγίας 2009/81/ΕΚ. </w:t>
      </w:r>
    </w:p>
    <w:p w:rsidR="006340BB" w:rsidRPr="002A7538" w:rsidRDefault="006340BB" w:rsidP="006340BB">
      <w:pPr>
        <w:pStyle w:val="ManualHeading1"/>
      </w:pPr>
      <w:r w:rsidRPr="002A7538">
        <w:t xml:space="preserve">Οδηγίες για την ανάγνωση του πίνακα 2 </w:t>
      </w:r>
    </w:p>
    <w:p w:rsidR="006340BB" w:rsidRPr="002A7538" w:rsidRDefault="006340BB" w:rsidP="009131B4">
      <w:pPr>
        <w:pStyle w:val="Bullet0"/>
        <w:numPr>
          <w:ilvl w:val="0"/>
          <w:numId w:val="10"/>
        </w:numPr>
      </w:pPr>
      <w:r w:rsidRPr="002A7538">
        <w:t xml:space="preserve">Η πρώτη στήλη περιέχει πληροφορίες σχετικά με την ένθεση του πεδίου ή του τμήματος. Κάθε πεδίο ή τμήμα με επίπεδο «++», «+++» και «++++» είναι ένθετο εντός του πλησιέστερου τμήματος που προηγείται και το οποίο έχει μικρότερο αριθμό «+». </w:t>
      </w:r>
    </w:p>
    <w:p w:rsidR="006340BB" w:rsidRPr="002A7538" w:rsidRDefault="006340BB" w:rsidP="006340BB">
      <w:pPr>
        <w:pStyle w:val="Bullet0"/>
      </w:pPr>
      <w:r w:rsidRPr="002A7538">
        <w:t>Η δεύτερη και η τρίτη στήλη περιλαμβάνουν τα ονόματα και τις περιγραφές των πεδίων (ή των τμημάτων).</w:t>
      </w:r>
    </w:p>
    <w:p w:rsidR="006340BB" w:rsidRPr="002A7538" w:rsidRDefault="006340BB" w:rsidP="006340BB">
      <w:pPr>
        <w:pStyle w:val="Bullet0"/>
      </w:pPr>
      <w:r w:rsidRPr="002A7538">
        <w:t>Η τέταρτη στήλη περιέχει έναν από τους ακόλουθους τύπους δεδομένων:</w:t>
      </w:r>
    </w:p>
    <w:p w:rsidR="006340BB" w:rsidRPr="002A7538" w:rsidRDefault="006340BB" w:rsidP="009131B4">
      <w:pPr>
        <w:pStyle w:val="Tiret1"/>
        <w:numPr>
          <w:ilvl w:val="0"/>
          <w:numId w:val="11"/>
        </w:numPr>
      </w:pPr>
      <w:r w:rsidRPr="002A7538">
        <w:t>«Δείκτης»: Το πεδίο αυτό πρέπει να περιέχει «ναι» ή «όχι».</w:t>
      </w:r>
    </w:p>
    <w:p w:rsidR="006340BB" w:rsidRPr="002A7538" w:rsidRDefault="006340BB" w:rsidP="006340BB">
      <w:pPr>
        <w:pStyle w:val="Tiret1"/>
      </w:pPr>
      <w:r w:rsidRPr="002A7538">
        <w:t xml:space="preserve">«Κωδικός»: Το πεδίο αυτό περιέχει τιμές από προκαθορισμένο κατάλογο. </w:t>
      </w:r>
    </w:p>
    <w:p w:rsidR="006340BB" w:rsidRPr="002A7538" w:rsidRDefault="006340BB" w:rsidP="006340BB">
      <w:pPr>
        <w:pStyle w:val="Tiret1"/>
      </w:pPr>
      <w:r w:rsidRPr="002A7538">
        <w:t xml:space="preserve">«Ημερομηνία»: Το πεδίο αυτό περιέχει ημερομηνία και πιο λεπτομερείς χρονικές πληροφορίες (όπως η ώρα και η ζώνη ώρας), ανάλογα με την περίπτωση. </w:t>
      </w:r>
    </w:p>
    <w:p w:rsidR="006340BB" w:rsidRPr="002A7538" w:rsidRDefault="006340BB" w:rsidP="006340BB">
      <w:pPr>
        <w:pStyle w:val="Tiret1"/>
      </w:pPr>
      <w:r w:rsidRPr="002A7538">
        <w:t>«Διάρκεια»: Το πεδίο αυτό περιλαμβάνει μια διάρκεια.</w:t>
      </w:r>
    </w:p>
    <w:p w:rsidR="006340BB" w:rsidRPr="002A7538" w:rsidRDefault="006340BB" w:rsidP="006340BB">
      <w:pPr>
        <w:pStyle w:val="Tiret1"/>
      </w:pPr>
      <w:r w:rsidRPr="002A7538">
        <w:t>«Αναγνωριστικό»: Το πεδίο αυτό περιέχει ένα σύνολο πληροφοριών που επιτρέπουν τη μοναδική ταυτοποίηση.</w:t>
      </w:r>
    </w:p>
    <w:p w:rsidR="006340BB" w:rsidRPr="002A7538" w:rsidRDefault="006340BB" w:rsidP="006340BB">
      <w:pPr>
        <w:pStyle w:val="Tiret1"/>
      </w:pPr>
      <w:r w:rsidRPr="002A7538">
        <w:t>«Αριθμός»: Το πεδίο αυτό περιλαμβάνει έναν αριθμό.</w:t>
      </w:r>
    </w:p>
    <w:p w:rsidR="006340BB" w:rsidRPr="002A7538" w:rsidRDefault="006340BB" w:rsidP="006340BB">
      <w:pPr>
        <w:pStyle w:val="Tiret1"/>
      </w:pPr>
      <w:r w:rsidRPr="002A7538">
        <w:t xml:space="preserve">«Κείμενο»: Το πεδίο αυτό περιλαμβάνει κείμενο. </w:t>
      </w:r>
    </w:p>
    <w:p w:rsidR="006340BB" w:rsidRPr="002A7538" w:rsidRDefault="006340BB" w:rsidP="006340BB">
      <w:pPr>
        <w:pStyle w:val="Tiret1"/>
      </w:pPr>
      <w:r w:rsidRPr="002A7538">
        <w:t xml:space="preserve">«URL»: Το πεδίο αυτό περιέχει έναν ενιαίο </w:t>
      </w:r>
      <w:proofErr w:type="spellStart"/>
      <w:r w:rsidRPr="002A7538">
        <w:t>εντοπιστή</w:t>
      </w:r>
      <w:proofErr w:type="spellEnd"/>
      <w:r w:rsidRPr="002A7538">
        <w:t xml:space="preserve"> πόρου (π.χ. διεύθυνση στο διαδίκτυο). </w:t>
      </w:r>
    </w:p>
    <w:p w:rsidR="006340BB" w:rsidRPr="002A7538" w:rsidRDefault="006340BB" w:rsidP="006340BB">
      <w:pPr>
        <w:pStyle w:val="Tiret1"/>
      </w:pPr>
      <w:r w:rsidRPr="002A7538">
        <w:t>«Αξία»: Το πεδίο αυτό περιέχει έναν αριθμό που υποδηλώνει νομισματική αξία (χωρίς φόρο προστιθέμενης αξίας) και έναν κωδικό νομίσματος από κατάλογο κωδικών νομισμάτων.</w:t>
      </w:r>
    </w:p>
    <w:p w:rsidR="006340BB" w:rsidRPr="002A7538" w:rsidRDefault="006340BB" w:rsidP="006340BB">
      <w:pPr>
        <w:ind w:left="720"/>
      </w:pPr>
      <w:r w:rsidRPr="002A7538">
        <w:t xml:space="preserve">Οι μορφότυποι και οι διαδικασίες για την αποστολή προκηρύξεων και γνωστοποιήσεων, όπως αναφέρεται ανωτέρω, προσδιορίζουν επίσης τους ισχύοντες καταλόγους κωδικών και τα ισχύοντα αναγνωριστικά. </w:t>
      </w:r>
    </w:p>
    <w:p w:rsidR="006340BB" w:rsidRPr="002A7538" w:rsidRDefault="006340BB" w:rsidP="006340BB">
      <w:pPr>
        <w:ind w:left="720"/>
      </w:pPr>
      <w:r w:rsidRPr="002A7538">
        <w:t xml:space="preserve">Ορισμένοι τύποι δεδομένων (π.χ. Ημερομηνία, Διάρκεια, Αναγνωριστικό, Κείμενο, Αξία) μπορούν να αποτελούνται από πολλαπλά </w:t>
      </w:r>
      <w:proofErr w:type="spellStart"/>
      <w:r w:rsidRPr="002A7538">
        <w:t>υποπεδία</w:t>
      </w:r>
      <w:proofErr w:type="spellEnd"/>
      <w:r w:rsidRPr="002A7538">
        <w:t>.</w:t>
      </w:r>
    </w:p>
    <w:p w:rsidR="006340BB" w:rsidRPr="002A7538" w:rsidRDefault="006340BB" w:rsidP="006340BB">
      <w:pPr>
        <w:pStyle w:val="Bullet0"/>
      </w:pPr>
      <w:r w:rsidRPr="002A7538">
        <w:t>Οι υπόλοιπες στήλες δηλώνουν για ποια τυποποιημένα έντυπα τα πεδία αυτά είναι υποχρεωτικά («Υ») και προαιρετικά («Π»). Οι τίτλοι των στηλών 1-40 αντιστοιχούν στους αριθμούς της δεύτερης στήλης του πίνακα 1 του παρόντος παραρτήματος.</w:t>
      </w:r>
    </w:p>
    <w:p w:rsidR="006340BB" w:rsidRPr="002A7538" w:rsidRDefault="006340BB" w:rsidP="006340BB">
      <w:pPr>
        <w:pStyle w:val="ManualHeading1"/>
      </w:pPr>
      <w:r w:rsidRPr="002A7538">
        <w:t>Ορολογία</w:t>
      </w:r>
    </w:p>
    <w:p w:rsidR="008E1B29" w:rsidRPr="002A7538" w:rsidRDefault="008E1B29" w:rsidP="008E1B29">
      <w:pPr>
        <w:pStyle w:val="Bullet0"/>
      </w:pPr>
      <w:r w:rsidRPr="002A7538">
        <w:t>«Αγοραστής»: αναθέτουσα αρχή, αναθέτων φορέας, ανάδοχος στον τομέα της άμυνας, διεθνής οργανισμός ή οργανισμός που αναθέτει σύμβαση επιδοτούμενη από αναθέτουσα αρχή.</w:t>
      </w:r>
    </w:p>
    <w:p w:rsidR="006340BB" w:rsidRPr="002A7538" w:rsidRDefault="006340BB" w:rsidP="006340BB">
      <w:pPr>
        <w:pStyle w:val="Bullet0"/>
      </w:pPr>
      <w:r w:rsidRPr="002A7538">
        <w:t xml:space="preserve">«Διαδικασία σύναψης σύμβασης»: η διαδικασία προμήθειας ή ο διαγωνισμός μελετών. </w:t>
      </w:r>
    </w:p>
    <w:p w:rsidR="006340BB" w:rsidRPr="002A7538" w:rsidRDefault="006340BB" w:rsidP="006340BB">
      <w:pPr>
        <w:pStyle w:val="Bullet0"/>
      </w:pPr>
      <w:r w:rsidRPr="002A7538">
        <w:t>«Προσφορά»: η προσφορά ή (σε περίπτωση διαγωνισμών μελετών) το έργο.</w:t>
      </w:r>
    </w:p>
    <w:p w:rsidR="006340BB" w:rsidRPr="002A7538" w:rsidRDefault="006340BB" w:rsidP="006340BB">
      <w:pPr>
        <w:pStyle w:val="Bullet0"/>
      </w:pPr>
      <w:r w:rsidRPr="002A7538">
        <w:t>«Αίτημα συμμετοχής»: το αίτημα συμμετοχής ή (σε περίπτωση συμβάσεων παραχώρησης) η αίτηση.</w:t>
      </w:r>
    </w:p>
    <w:p w:rsidR="006340BB" w:rsidRPr="002A7538" w:rsidRDefault="006340BB" w:rsidP="006340BB">
      <w:pPr>
        <w:pStyle w:val="Bullet0"/>
        <w:jc w:val="left"/>
        <w:sectPr w:rsidR="006340BB" w:rsidRPr="002A7538" w:rsidSect="00DE3405">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pPr>
      <w:r w:rsidRPr="002A7538">
        <w:t>«TED» (</w:t>
      </w:r>
      <w:proofErr w:type="spellStart"/>
      <w:r w:rsidRPr="002A7538">
        <w:t>Tenders</w:t>
      </w:r>
      <w:proofErr w:type="spellEnd"/>
      <w:r w:rsidRPr="002A7538">
        <w:t xml:space="preserve"> </w:t>
      </w:r>
      <w:proofErr w:type="spellStart"/>
      <w:r w:rsidRPr="002A7538">
        <w:t>Electronic</w:t>
      </w:r>
      <w:proofErr w:type="spellEnd"/>
      <w:r w:rsidRPr="002A7538">
        <w:t xml:space="preserve"> </w:t>
      </w:r>
      <w:proofErr w:type="spellStart"/>
      <w:r w:rsidRPr="002A7538">
        <w:t>Daily</w:t>
      </w:r>
      <w:proofErr w:type="spellEnd"/>
      <w:r w:rsidRPr="002A7538">
        <w:t xml:space="preserve">): η ηλεκτρονική έκδοση του Συμπληρώματος της </w:t>
      </w:r>
      <w:r w:rsidRPr="002A7538">
        <w:rPr>
          <w:i/>
        </w:rPr>
        <w:t>Επίσημης Εφημερίδας της Ευρωπαϊκής Ένωσης</w:t>
      </w:r>
      <w:r w:rsidRPr="002A7538">
        <w:t>.</w:t>
      </w:r>
      <w:r w:rsidRPr="002A7538">
        <w:rPr>
          <w:i/>
        </w:rPr>
        <w:br/>
        <w:t>.</w:t>
      </w:r>
    </w:p>
    <w:p w:rsidR="006340BB" w:rsidRPr="002A7538" w:rsidRDefault="006340BB" w:rsidP="006340BB">
      <w:pPr>
        <w:spacing w:before="0" w:after="200" w:line="276" w:lineRule="auto"/>
        <w:jc w:val="left"/>
        <w:rPr>
          <w:i/>
        </w:rPr>
      </w:pPr>
      <w:r w:rsidRPr="002A7538">
        <w:rPr>
          <w:i/>
        </w:rPr>
        <w:t>Σημείωση: Ο πίνακας αυτός είναι διαθέσιμος στον δικτυακό τόπο της Επιτροπής με πρόσθετες πληροφορίες σε ένα πιο ευανάγνωστο μορφότυπο λογιστικού φύλλου.</w:t>
      </w:r>
    </w:p>
    <w:p w:rsidR="006340BB" w:rsidRPr="002A7538" w:rsidRDefault="006340BB" w:rsidP="006340BB">
      <w:pPr>
        <w:pStyle w:val="Caption"/>
        <w:keepNext/>
        <w:spacing w:after="0"/>
        <w:rPr>
          <w:color w:val="auto"/>
        </w:rPr>
      </w:pPr>
      <w:r w:rsidRPr="002A7538">
        <w:rPr>
          <w:color w:val="auto"/>
        </w:rPr>
        <w:t xml:space="preserve">Πίνακας </w:t>
      </w:r>
      <w:r w:rsidRPr="002A7538">
        <w:rPr>
          <w:color w:val="auto"/>
        </w:rPr>
        <w:fldChar w:fldCharType="begin"/>
      </w:r>
      <w:r w:rsidRPr="002A7538">
        <w:rPr>
          <w:color w:val="auto"/>
        </w:rPr>
        <w:instrText xml:space="preserve"> SEQ Table \* ARABIC </w:instrText>
      </w:r>
      <w:r w:rsidRPr="002A7538">
        <w:rPr>
          <w:color w:val="auto"/>
        </w:rPr>
        <w:fldChar w:fldCharType="separate"/>
      </w:r>
      <w:r w:rsidRPr="002A7538">
        <w:rPr>
          <w:color w:val="auto"/>
        </w:rPr>
        <w:t>2</w:t>
      </w:r>
      <w:r w:rsidRPr="002A7538">
        <w:rPr>
          <w:color w:val="auto"/>
        </w:rPr>
        <w:fldChar w:fldCharType="end"/>
      </w:r>
      <w:r w:rsidRPr="002A7538">
        <w:rPr>
          <w:color w:val="auto"/>
        </w:rPr>
        <w:t xml:space="preserve"> – Πεδία στα τυποποιημένα έντυπα</w:t>
      </w:r>
    </w:p>
    <w:tbl>
      <w:tblPr>
        <w:tblW w:w="14804" w:type="dxa"/>
        <w:tblLayout w:type="fixed"/>
        <w:tblCellMar>
          <w:left w:w="0" w:type="dxa"/>
          <w:right w:w="0" w:type="dxa"/>
        </w:tblCellMar>
        <w:tblLook w:val="04A0" w:firstRow="1" w:lastRow="0" w:firstColumn="1" w:lastColumn="0" w:noHBand="0" w:noVBand="1"/>
      </w:tblPr>
      <w:tblGrid>
        <w:gridCol w:w="410"/>
        <w:gridCol w:w="703"/>
        <w:gridCol w:w="1701"/>
        <w:gridCol w:w="4025"/>
        <w:gridCol w:w="663"/>
        <w:gridCol w:w="171"/>
        <w:gridCol w:w="153"/>
        <w:gridCol w:w="153"/>
        <w:gridCol w:w="153"/>
        <w:gridCol w:w="153"/>
        <w:gridCol w:w="153"/>
        <w:gridCol w:w="153"/>
        <w:gridCol w:w="153"/>
        <w:gridCol w:w="171"/>
        <w:gridCol w:w="188"/>
        <w:gridCol w:w="188"/>
        <w:gridCol w:w="188"/>
        <w:gridCol w:w="170"/>
        <w:gridCol w:w="188"/>
        <w:gridCol w:w="205"/>
        <w:gridCol w:w="188"/>
        <w:gridCol w:w="170"/>
        <w:gridCol w:w="170"/>
        <w:gridCol w:w="188"/>
        <w:gridCol w:w="188"/>
        <w:gridCol w:w="188"/>
        <w:gridCol w:w="205"/>
        <w:gridCol w:w="188"/>
        <w:gridCol w:w="188"/>
        <w:gridCol w:w="188"/>
        <w:gridCol w:w="170"/>
        <w:gridCol w:w="170"/>
        <w:gridCol w:w="188"/>
        <w:gridCol w:w="188"/>
        <w:gridCol w:w="170"/>
        <w:gridCol w:w="170"/>
        <w:gridCol w:w="188"/>
        <w:gridCol w:w="188"/>
        <w:gridCol w:w="170"/>
        <w:gridCol w:w="188"/>
        <w:gridCol w:w="188"/>
        <w:gridCol w:w="188"/>
        <w:gridCol w:w="253"/>
        <w:gridCol w:w="229"/>
        <w:gridCol w:w="253"/>
      </w:tblGrid>
      <w:tr w:rsidR="00702A07" w:rsidRPr="002A7538" w:rsidTr="00293701">
        <w:trPr>
          <w:trHeight w:val="280"/>
          <w:tblHeader/>
        </w:trPr>
        <w:tc>
          <w:tcPr>
            <w:tcW w:w="410" w:type="dxa"/>
            <w:vMerge w:val="restart"/>
            <w:tcBorders>
              <w:top w:val="double" w:sz="6" w:space="0" w:color="auto"/>
              <w:left w:val="double" w:sz="6" w:space="0" w:color="auto"/>
              <w:bottom w:val="nil"/>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Επίπεδο</w:t>
            </w:r>
          </w:p>
        </w:tc>
        <w:tc>
          <w:tcPr>
            <w:tcW w:w="703"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proofErr w:type="spellStart"/>
            <w:r w:rsidRPr="002A7538">
              <w:rPr>
                <w:sz w:val="16"/>
              </w:rPr>
              <w:t>Ταυτ</w:t>
            </w:r>
            <w:proofErr w:type="spellEnd"/>
            <w:r w:rsidRPr="002A7538">
              <w:rPr>
                <w:sz w:val="16"/>
              </w:rPr>
              <w:t>.</w:t>
            </w:r>
          </w:p>
        </w:tc>
        <w:tc>
          <w:tcPr>
            <w:tcW w:w="1701" w:type="dxa"/>
            <w:vMerge w:val="restart"/>
            <w:tcBorders>
              <w:top w:val="double" w:sz="6" w:space="0" w:color="auto"/>
              <w:left w:val="double" w:sz="6" w:space="0" w:color="auto"/>
              <w:bottom w:val="nil"/>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Όνομα</w:t>
            </w:r>
          </w:p>
        </w:tc>
        <w:tc>
          <w:tcPr>
            <w:tcW w:w="4025"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702A07" w:rsidRPr="002A7538" w:rsidRDefault="00702A07" w:rsidP="00702A07">
            <w:pPr>
              <w:spacing w:before="0" w:after="0"/>
              <w:jc w:val="center"/>
              <w:rPr>
                <w:rFonts w:eastAsia="Times New Roman"/>
                <w:sz w:val="16"/>
                <w:szCs w:val="16"/>
              </w:rPr>
            </w:pPr>
            <w:r w:rsidRPr="002A7538">
              <w:rPr>
                <w:sz w:val="16"/>
              </w:rPr>
              <w:t>Περιγραφή</w:t>
            </w:r>
          </w:p>
        </w:tc>
        <w:tc>
          <w:tcPr>
            <w:tcW w:w="663"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Τύπος δεδομένων</w:t>
            </w:r>
          </w:p>
        </w:tc>
        <w:tc>
          <w:tcPr>
            <w:tcW w:w="1413" w:type="dxa"/>
            <w:gridSpan w:val="9"/>
            <w:tcBorders>
              <w:top w:val="double" w:sz="6" w:space="0" w:color="auto"/>
              <w:left w:val="nil"/>
              <w:bottom w:val="double" w:sz="6"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Προγραμματισμός</w:t>
            </w:r>
          </w:p>
        </w:tc>
        <w:tc>
          <w:tcPr>
            <w:tcW w:w="2800" w:type="dxa"/>
            <w:gridSpan w:val="15"/>
            <w:tcBorders>
              <w:top w:val="double" w:sz="6" w:space="0" w:color="auto"/>
              <w:left w:val="nil"/>
              <w:bottom w:val="double" w:sz="6"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Διαγωνισμός</w:t>
            </w:r>
          </w:p>
        </w:tc>
        <w:tc>
          <w:tcPr>
            <w:tcW w:w="716" w:type="dxa"/>
            <w:gridSpan w:val="4"/>
            <w:tcBorders>
              <w:top w:val="double" w:sz="6" w:space="0" w:color="auto"/>
              <w:left w:val="nil"/>
              <w:bottom w:val="double" w:sz="6"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ΠΑΑ</w:t>
            </w:r>
          </w:p>
        </w:tc>
        <w:tc>
          <w:tcPr>
            <w:tcW w:w="1638" w:type="dxa"/>
            <w:gridSpan w:val="9"/>
            <w:tcBorders>
              <w:top w:val="double" w:sz="6" w:space="0" w:color="auto"/>
              <w:left w:val="nil"/>
              <w:bottom w:val="double" w:sz="6"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Αποτέλεσμα</w:t>
            </w:r>
          </w:p>
        </w:tc>
        <w:tc>
          <w:tcPr>
            <w:tcW w:w="735" w:type="dxa"/>
            <w:gridSpan w:val="3"/>
            <w:tcBorders>
              <w:top w:val="double" w:sz="6" w:space="0" w:color="auto"/>
              <w:left w:val="nil"/>
              <w:bottom w:val="double" w:sz="6"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proofErr w:type="spellStart"/>
            <w:r w:rsidRPr="002A7538">
              <w:rPr>
                <w:sz w:val="16"/>
              </w:rPr>
              <w:t>Τροποπ</w:t>
            </w:r>
            <w:proofErr w:type="spellEnd"/>
            <w:r w:rsidRPr="002A7538">
              <w:rPr>
                <w:sz w:val="16"/>
              </w:rPr>
              <w:t xml:space="preserve">. </w:t>
            </w:r>
            <w:proofErr w:type="spellStart"/>
            <w:r w:rsidRPr="002A7538">
              <w:rPr>
                <w:sz w:val="16"/>
              </w:rPr>
              <w:t>σύμβ</w:t>
            </w:r>
            <w:proofErr w:type="spellEnd"/>
            <w:r w:rsidRPr="002A7538">
              <w:rPr>
                <w:sz w:val="16"/>
              </w:rPr>
              <w:t>.</w:t>
            </w:r>
          </w:p>
        </w:tc>
      </w:tr>
      <w:tr w:rsidR="00702A07" w:rsidRPr="002A7538" w:rsidTr="00293701">
        <w:trPr>
          <w:trHeight w:val="280"/>
          <w:tblHeader/>
        </w:trPr>
        <w:tc>
          <w:tcPr>
            <w:tcW w:w="410" w:type="dxa"/>
            <w:vMerge/>
            <w:tcBorders>
              <w:top w:val="double" w:sz="6" w:space="0" w:color="auto"/>
              <w:left w:val="double" w:sz="6" w:space="0" w:color="auto"/>
              <w:bottom w:val="double" w:sz="4" w:space="0" w:color="auto"/>
              <w:right w:val="nil"/>
            </w:tcBorders>
            <w:vAlign w:val="center"/>
            <w:hideMark/>
          </w:tcPr>
          <w:p w:rsidR="00702A07" w:rsidRPr="002A7538" w:rsidRDefault="00702A07" w:rsidP="00702A07">
            <w:pPr>
              <w:spacing w:before="0" w:after="0"/>
              <w:jc w:val="left"/>
              <w:rPr>
                <w:rFonts w:eastAsia="Times New Roman"/>
                <w:sz w:val="16"/>
                <w:szCs w:val="16"/>
              </w:rPr>
            </w:pPr>
          </w:p>
        </w:tc>
        <w:tc>
          <w:tcPr>
            <w:tcW w:w="703" w:type="dxa"/>
            <w:vMerge/>
            <w:tcBorders>
              <w:top w:val="double" w:sz="6" w:space="0" w:color="auto"/>
              <w:left w:val="double" w:sz="6" w:space="0" w:color="auto"/>
              <w:bottom w:val="double" w:sz="6" w:space="0" w:color="000000"/>
              <w:right w:val="double" w:sz="6" w:space="0" w:color="auto"/>
            </w:tcBorders>
            <w:vAlign w:val="center"/>
            <w:hideMark/>
          </w:tcPr>
          <w:p w:rsidR="00702A07" w:rsidRPr="002A7538" w:rsidRDefault="00702A07" w:rsidP="00702A07">
            <w:pPr>
              <w:spacing w:before="0" w:after="0"/>
              <w:jc w:val="left"/>
              <w:rPr>
                <w:rFonts w:eastAsia="Times New Roman"/>
                <w:sz w:val="16"/>
                <w:szCs w:val="16"/>
              </w:rPr>
            </w:pPr>
          </w:p>
        </w:tc>
        <w:tc>
          <w:tcPr>
            <w:tcW w:w="1701" w:type="dxa"/>
            <w:vMerge/>
            <w:tcBorders>
              <w:top w:val="double" w:sz="6" w:space="0" w:color="auto"/>
              <w:left w:val="double" w:sz="6" w:space="0" w:color="auto"/>
              <w:bottom w:val="double" w:sz="4" w:space="0" w:color="auto"/>
              <w:right w:val="double" w:sz="6" w:space="0" w:color="auto"/>
            </w:tcBorders>
            <w:vAlign w:val="center"/>
            <w:hideMark/>
          </w:tcPr>
          <w:p w:rsidR="00702A07" w:rsidRPr="002A7538" w:rsidRDefault="00702A07" w:rsidP="00702A07">
            <w:pPr>
              <w:spacing w:before="0" w:after="0"/>
              <w:jc w:val="left"/>
              <w:rPr>
                <w:rFonts w:eastAsia="Times New Roman"/>
                <w:sz w:val="16"/>
                <w:szCs w:val="16"/>
              </w:rPr>
            </w:pPr>
          </w:p>
        </w:tc>
        <w:tc>
          <w:tcPr>
            <w:tcW w:w="4025" w:type="dxa"/>
            <w:vMerge/>
            <w:tcBorders>
              <w:top w:val="double" w:sz="6" w:space="0" w:color="auto"/>
              <w:left w:val="double" w:sz="6" w:space="0" w:color="auto"/>
              <w:bottom w:val="double" w:sz="6" w:space="0" w:color="000000"/>
              <w:right w:val="double" w:sz="6" w:space="0" w:color="auto"/>
            </w:tcBorders>
            <w:vAlign w:val="center"/>
            <w:hideMark/>
          </w:tcPr>
          <w:p w:rsidR="00702A07" w:rsidRPr="002A7538" w:rsidRDefault="00702A07" w:rsidP="00702A07">
            <w:pPr>
              <w:spacing w:before="0" w:after="0"/>
              <w:jc w:val="left"/>
              <w:rPr>
                <w:rFonts w:eastAsia="Times New Roman"/>
                <w:sz w:val="16"/>
                <w:szCs w:val="16"/>
              </w:rPr>
            </w:pPr>
          </w:p>
        </w:tc>
        <w:tc>
          <w:tcPr>
            <w:tcW w:w="663" w:type="dxa"/>
            <w:vMerge/>
            <w:tcBorders>
              <w:top w:val="double" w:sz="6" w:space="0" w:color="auto"/>
              <w:left w:val="double" w:sz="6" w:space="0" w:color="auto"/>
              <w:bottom w:val="double" w:sz="6" w:space="0" w:color="000000"/>
              <w:right w:val="double" w:sz="6" w:space="0" w:color="auto"/>
            </w:tcBorders>
            <w:vAlign w:val="center"/>
            <w:hideMark/>
          </w:tcPr>
          <w:p w:rsidR="00702A07" w:rsidRPr="002A7538" w:rsidRDefault="00702A07" w:rsidP="00702A07">
            <w:pPr>
              <w:spacing w:before="0" w:after="0"/>
              <w:jc w:val="left"/>
              <w:rPr>
                <w:rFonts w:eastAsia="Times New Roman"/>
                <w:sz w:val="16"/>
                <w:szCs w:val="16"/>
              </w:rPr>
            </w:pPr>
          </w:p>
        </w:tc>
        <w:tc>
          <w:tcPr>
            <w:tcW w:w="171" w:type="dxa"/>
            <w:tcBorders>
              <w:top w:val="nil"/>
              <w:left w:val="nil"/>
              <w:bottom w:val="double" w:sz="6"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1</w:t>
            </w:r>
          </w:p>
        </w:tc>
        <w:tc>
          <w:tcPr>
            <w:tcW w:w="153" w:type="dxa"/>
            <w:tcBorders>
              <w:top w:val="nil"/>
              <w:left w:val="single" w:sz="4" w:space="0" w:color="auto"/>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2</w:t>
            </w:r>
          </w:p>
        </w:tc>
        <w:tc>
          <w:tcPr>
            <w:tcW w:w="153" w:type="dxa"/>
            <w:tcBorders>
              <w:top w:val="nil"/>
              <w:left w:val="nil"/>
              <w:bottom w:val="double" w:sz="6"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3</w:t>
            </w:r>
          </w:p>
        </w:tc>
        <w:tc>
          <w:tcPr>
            <w:tcW w:w="153"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4</w:t>
            </w:r>
          </w:p>
        </w:tc>
        <w:tc>
          <w:tcPr>
            <w:tcW w:w="153"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5</w:t>
            </w:r>
          </w:p>
        </w:tc>
        <w:tc>
          <w:tcPr>
            <w:tcW w:w="153" w:type="dxa"/>
            <w:tcBorders>
              <w:top w:val="nil"/>
              <w:left w:val="nil"/>
              <w:bottom w:val="double" w:sz="6"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6</w:t>
            </w:r>
          </w:p>
        </w:tc>
        <w:tc>
          <w:tcPr>
            <w:tcW w:w="153"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7</w:t>
            </w:r>
          </w:p>
        </w:tc>
        <w:tc>
          <w:tcPr>
            <w:tcW w:w="153" w:type="dxa"/>
            <w:tcBorders>
              <w:top w:val="nil"/>
              <w:left w:val="nil"/>
              <w:bottom w:val="double" w:sz="6"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8</w:t>
            </w:r>
          </w:p>
        </w:tc>
        <w:tc>
          <w:tcPr>
            <w:tcW w:w="171" w:type="dxa"/>
            <w:tcBorders>
              <w:top w:val="nil"/>
              <w:left w:val="nil"/>
              <w:bottom w:val="double" w:sz="6"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9</w:t>
            </w:r>
          </w:p>
        </w:tc>
        <w:tc>
          <w:tcPr>
            <w:tcW w:w="188"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10</w:t>
            </w:r>
          </w:p>
        </w:tc>
        <w:tc>
          <w:tcPr>
            <w:tcW w:w="188" w:type="dxa"/>
            <w:tcBorders>
              <w:top w:val="nil"/>
              <w:left w:val="nil"/>
              <w:bottom w:val="double" w:sz="6"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11</w:t>
            </w:r>
          </w:p>
        </w:tc>
        <w:tc>
          <w:tcPr>
            <w:tcW w:w="188"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12</w:t>
            </w:r>
          </w:p>
        </w:tc>
        <w:tc>
          <w:tcPr>
            <w:tcW w:w="170"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13</w:t>
            </w:r>
          </w:p>
        </w:tc>
        <w:tc>
          <w:tcPr>
            <w:tcW w:w="188" w:type="dxa"/>
            <w:tcBorders>
              <w:top w:val="nil"/>
              <w:left w:val="nil"/>
              <w:bottom w:val="double" w:sz="6"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14</w:t>
            </w:r>
          </w:p>
        </w:tc>
        <w:tc>
          <w:tcPr>
            <w:tcW w:w="205" w:type="dxa"/>
            <w:tcBorders>
              <w:top w:val="nil"/>
              <w:left w:val="nil"/>
              <w:bottom w:val="double" w:sz="6"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15</w:t>
            </w:r>
          </w:p>
        </w:tc>
        <w:tc>
          <w:tcPr>
            <w:tcW w:w="188"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16</w:t>
            </w:r>
          </w:p>
        </w:tc>
        <w:tc>
          <w:tcPr>
            <w:tcW w:w="170"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17</w:t>
            </w:r>
          </w:p>
        </w:tc>
        <w:tc>
          <w:tcPr>
            <w:tcW w:w="170"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18</w:t>
            </w:r>
          </w:p>
        </w:tc>
        <w:tc>
          <w:tcPr>
            <w:tcW w:w="188" w:type="dxa"/>
            <w:tcBorders>
              <w:top w:val="nil"/>
              <w:left w:val="nil"/>
              <w:bottom w:val="double" w:sz="6"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19</w:t>
            </w:r>
          </w:p>
        </w:tc>
        <w:tc>
          <w:tcPr>
            <w:tcW w:w="188"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20</w:t>
            </w:r>
          </w:p>
        </w:tc>
        <w:tc>
          <w:tcPr>
            <w:tcW w:w="188" w:type="dxa"/>
            <w:tcBorders>
              <w:top w:val="nil"/>
              <w:left w:val="nil"/>
              <w:bottom w:val="double" w:sz="6"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21</w:t>
            </w:r>
          </w:p>
        </w:tc>
        <w:tc>
          <w:tcPr>
            <w:tcW w:w="205" w:type="dxa"/>
            <w:tcBorders>
              <w:top w:val="nil"/>
              <w:left w:val="nil"/>
              <w:bottom w:val="double" w:sz="6"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22</w:t>
            </w:r>
          </w:p>
        </w:tc>
        <w:tc>
          <w:tcPr>
            <w:tcW w:w="188"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23</w:t>
            </w:r>
          </w:p>
        </w:tc>
        <w:tc>
          <w:tcPr>
            <w:tcW w:w="188" w:type="dxa"/>
            <w:tcBorders>
              <w:top w:val="nil"/>
              <w:left w:val="nil"/>
              <w:bottom w:val="double" w:sz="6"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24</w:t>
            </w:r>
          </w:p>
        </w:tc>
        <w:tc>
          <w:tcPr>
            <w:tcW w:w="188"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25</w:t>
            </w:r>
          </w:p>
        </w:tc>
        <w:tc>
          <w:tcPr>
            <w:tcW w:w="170"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26</w:t>
            </w:r>
          </w:p>
        </w:tc>
        <w:tc>
          <w:tcPr>
            <w:tcW w:w="170"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27</w:t>
            </w:r>
          </w:p>
        </w:tc>
        <w:tc>
          <w:tcPr>
            <w:tcW w:w="188" w:type="dxa"/>
            <w:tcBorders>
              <w:top w:val="nil"/>
              <w:left w:val="nil"/>
              <w:bottom w:val="double" w:sz="6"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28</w:t>
            </w:r>
          </w:p>
        </w:tc>
        <w:tc>
          <w:tcPr>
            <w:tcW w:w="188"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29</w:t>
            </w:r>
          </w:p>
        </w:tc>
        <w:tc>
          <w:tcPr>
            <w:tcW w:w="170"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30</w:t>
            </w:r>
          </w:p>
        </w:tc>
        <w:tc>
          <w:tcPr>
            <w:tcW w:w="170"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31</w:t>
            </w:r>
          </w:p>
        </w:tc>
        <w:tc>
          <w:tcPr>
            <w:tcW w:w="188" w:type="dxa"/>
            <w:tcBorders>
              <w:top w:val="nil"/>
              <w:left w:val="nil"/>
              <w:bottom w:val="double" w:sz="6"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32</w:t>
            </w:r>
          </w:p>
        </w:tc>
        <w:tc>
          <w:tcPr>
            <w:tcW w:w="188"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33</w:t>
            </w:r>
          </w:p>
        </w:tc>
        <w:tc>
          <w:tcPr>
            <w:tcW w:w="170"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34</w:t>
            </w:r>
          </w:p>
        </w:tc>
        <w:tc>
          <w:tcPr>
            <w:tcW w:w="188" w:type="dxa"/>
            <w:tcBorders>
              <w:top w:val="nil"/>
              <w:left w:val="nil"/>
              <w:bottom w:val="double" w:sz="6"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35</w:t>
            </w:r>
          </w:p>
        </w:tc>
        <w:tc>
          <w:tcPr>
            <w:tcW w:w="188"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36</w:t>
            </w:r>
          </w:p>
        </w:tc>
        <w:tc>
          <w:tcPr>
            <w:tcW w:w="188" w:type="dxa"/>
            <w:tcBorders>
              <w:top w:val="nil"/>
              <w:left w:val="nil"/>
              <w:bottom w:val="double" w:sz="6"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37</w:t>
            </w:r>
          </w:p>
        </w:tc>
        <w:tc>
          <w:tcPr>
            <w:tcW w:w="253"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38</w:t>
            </w:r>
          </w:p>
        </w:tc>
        <w:tc>
          <w:tcPr>
            <w:tcW w:w="229" w:type="dxa"/>
            <w:tcBorders>
              <w:top w:val="nil"/>
              <w:left w:val="nil"/>
              <w:bottom w:val="double" w:sz="6"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39</w:t>
            </w:r>
          </w:p>
        </w:tc>
        <w:tc>
          <w:tcPr>
            <w:tcW w:w="253" w:type="dxa"/>
            <w:tcBorders>
              <w:top w:val="nil"/>
              <w:left w:val="nil"/>
              <w:bottom w:val="double" w:sz="6"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40</w:t>
            </w:r>
          </w:p>
        </w:tc>
      </w:tr>
      <w:tr w:rsidR="00EC4689" w:rsidRPr="002A7538" w:rsidTr="00293701">
        <w:trPr>
          <w:trHeight w:val="270"/>
        </w:trPr>
        <w:tc>
          <w:tcPr>
            <w:tcW w:w="410" w:type="dxa"/>
            <w:tcBorders>
              <w:top w:val="double" w:sz="4" w:space="0" w:color="auto"/>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BG-1</w:t>
            </w:r>
          </w:p>
        </w:tc>
        <w:tc>
          <w:tcPr>
            <w:tcW w:w="1701" w:type="dxa"/>
            <w:tcBorders>
              <w:top w:val="double" w:sz="4" w:space="0" w:color="auto"/>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Προκήρυξη/γνωστοποίηση</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Βασικές πληροφορίες σχετικά με την προκήρυξη/γνωστοποίηση.</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single" w:sz="4" w:space="0" w:color="EEECE1"/>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single" w:sz="4" w:space="0" w:color="EEECE1"/>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single" w:sz="4" w:space="0" w:color="EEECE1"/>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single" w:sz="4" w:space="0" w:color="EEECE1"/>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single" w:sz="4" w:space="0" w:color="EEECE1"/>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single" w:sz="4" w:space="0" w:color="EEECE1"/>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single" w:sz="4" w:space="0" w:color="EEECE1"/>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single" w:sz="4" w:space="0" w:color="EEECE1"/>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78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BT-04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διαδικασίας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ευρωπαϊκό αναγνωριστικό της διαδικασίας σύναψης δημόσιων συμβάσεων, ένα μοναδικό αναγνωριστικό της διαδικασίας προμήθειας. Η συμπερίληψη του εν λόγω αναγνωριστικού σε όλες τις δημοσιευμένες εκδοχές της παρούσας προκήρυξης/γνωστοποίησης (π.χ. δημοσίευση στο TED, εθνικές πύλες δημοσίευσης, περιφερειακές πύλες δημοσίευσης) επιτρέπει τη μοναδική ταυτοποίηση των διαδικασιών σύναψης συμβάσεων σε ολόκληρη την ΕΕ.</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BT-701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προκήρυξης/γνωστοποίησης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ευρωπαϊκό αναγνωριστικό για την προκήρυξη δημόσιων συμβάσεων της παρούσας προκήρυξης/γνωστοποίησης. Η συμπερίληψη του εν λόγω αναγνωριστικού σε όλες τις δημοσιευμένες εκδοχές της παρούσας προκήρυξης/γνωστοποίησης (π.χ. δημοσίευση στο TED, εθνικές πύλες δημοσίευσης, περιφερειακές πύλες δημοσίευσης) επιτρέπει τη μοναδική ταυτοποίηση των προκηρύξεων συμβάσεων σε ολόκληρη την ΕΕ.</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BT-757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Έκδοση προκήρυξης/γνωστοποίησης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έκδοση της προκήρυξης. Αυτό βοηθά, για παράδειγμα, να αποφεύγονται τα σφάλματα που προκαλούνται από πολλαπλές γνωστοποιήσεις αλλαγών που αποστέλλονται σε παρόμοιο χρόνο.</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BT-01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Διαδικαστική νομική βάση</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νομική βάση (π.χ. μια ευρωπαϊκή οδηγία ή κανονισμός, εθνικό δίκαιο) στο πλαίσιο της οποίας πραγματοποιείται η διαδικασία σύναψης σύμβασης.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BT-03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Είδος εντύπου</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είδος του εντύπου σύμφωνα με τη νομοθεσία περί δημοσίων συμβάσεων.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BT-02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Είδος προκήρυξης/γνωστοποίησης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είδος της προκήρυξης/γνωστοποίησης σύμφωνα με τη νομοθεσία περί δημοσίων συμβάσεων.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BT-05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Ημερομηνία αποστολής προκήρυξης/γνωστοποίησης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ημερομηνία και η ώρα αποστολής της προκήρυξης/γνωστοποίησης στο TED.</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BT-738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Προτιμώμενη ημερομηνία δημοσίευσης της προκήρυξης/γνωστοποίησης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Η προτιμώμενη ημερομηνία δημοσίευσης της προκήρυξης/γνωστοποίησης στο TED (π.χ. για να αποφευχθεί η δημοσίευση κατά τη διάρκεια εθνικής αργίας). </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BT-702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Επίσημη γλώσσα προκήρυξης/γνωστοποίησης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Η/Οι γλώσσα/-ες στην/στις οποία/-ες είναι επίσημα διαθέσιμη η παρούσα προκήρυξη/γνωστοποίηση. Οι γλωσσικές αυτές εκδόσεις είναι εξίσου έγκυρες από νομική άποψη.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EC4689" w:rsidRPr="002A7538" w:rsidTr="00293701">
        <w:trPr>
          <w:trHeight w:val="78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BG-125</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Προηγούμενος προγραμματισμός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προκαταρκτική προκήρυξη, περιοδική ενδεικτική προκήρυξη ή άλλη παρόμοια προκήρυξη που σχετίζεται με την παρούσα προκήρυξη. Οι πληροφορίες αυτές μπορεί να διαφέρουν ανά τμήμα. Στην περίπτωση προκαταρκτικής προκήρυξης ή περιοδικής ενδεικτικής προκήρυξης που χρησιμοποιούνται μόνο για ενημέρωση, οι πληροφορίες αυτές μπορεί να διαφέρουν ανά μέρος της προκήρυξης που ενδέχεται να καταστεί αργότερα τμήμα ή αυτόνομη διαδικασία.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BT-125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προηγούμενου προγραμματισμού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αναγνωριστικό προκαταρκτικής προκήρυξης, περιοδικής ενδεικτικής προκήρυξης ή άλλης παρόμοιας προκήρυξης που σχετίζεται με την παρούσα προκήρυξη.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BT-1251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μέρους προηγούμενου προγραμματισμού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αναγνωριστικό μέρους προκαταρκτικής προκήρυξης, περιοδικής ενδεικτικής προκήρυξης ή άλλης παρόμοιας προκήρυξης που σχετίζεται με την παρούσα προκήρυξη.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70C85"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70C85"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70C85" w:rsidP="00770C85">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70C85"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70C85"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70C85"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70C85"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70C85"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70C85"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70C85"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70C85"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70C85"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70C85"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70C85"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70C85"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177755">
        <w:trPr>
          <w:trHeight w:val="780"/>
        </w:trPr>
        <w:tc>
          <w:tcPr>
            <w:tcW w:w="410" w:type="dxa"/>
            <w:tcBorders>
              <w:top w:val="double" w:sz="4" w:space="0" w:color="auto"/>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BG-703</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Οργανισμός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για τον οργανισμό Οι πληροφορίες αυτές μπορεί να διαφέρουν ανά τμήμα, ανά σύμβαση, ανά επιλεγείσα προσφορά, κτλ. Στην περίπτωση προκαταρκτικής προκήρυξης ή περιοδικής ενδεικτικής προκήρυξης που χρησιμοποιούνται μόνο για ενημέρωση, οι πληροφορίες αυτές μπορεί να διαφέρουν ανά μέρος της προκήρυξης που ενδέχεται να καταστεί αργότερα τμήμα ή αυτόνομη διαδικασία.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BT-13720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τμήματος οργανισμού προκήρυξης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Αναγνωριστικό ενός ή περισσότερων τμημάτων εντός της παρούσας προκήρυξης. Οι πληροφορίες στο τμήμα «Οργανισμός» αναφέρονται στο εν λόγω τμήμα ή τα τμήματα.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BT-500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Ονομασία οργανισμού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επίσημη επωνυμία του οργανισμού.</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BT-501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οργανισμού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Ένα αναγνωριστικό του οργανισμού. Παρέχονται όλα τα αναγνωριστικά του οργανισμού.</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Ονομασία μέρους οργανισμού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όνομα μέρους ενός οργανισμού (π.χ. το αρμόδιο τμήμα ενός μεγάλου αγοραστή).</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BT-510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Οδός οργανισμού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ονομασία της οδού, της λεωφόρου κ.λπ. της φυσικής διεύθυνσης του οργανισμού και περαιτέρω ταυτοποίηση (π.χ. αριθμός κτιρίου).</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BT-513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Πόλη οργανισμού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ονομασία του τόπου (πόλη ή χωριό) της φυσικής διεύθυνσης του οργανισμού.</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BT-512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Ταχυδρομικός κωδικός οργανισμού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ταχυδρομικός κωδικός της φυσικής διεύθυνσης του οργανισμού.</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BT-507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Υποδιαίρεση χώρας οργανισμού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τοποθεσία της φυσικής διεύθυνσης του οργανισμού σύμφωνα με την κοινή ταξινόμηση των εδαφικών στατιστικών μονάδων (NUTS). Πρέπει να χρησιμοποιείται ο κωδικός ταξινόμησης NUTS3.</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BT-514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Κωδικός χώρας οργανισμού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χώρα της φυσικής διεύθυνσης του οργανισμού.</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78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BT-502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Σημείο επαφής του οργανισμού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όνομα του τμήματος ή άλλου σημείου επαφής για την επικοινωνία με τον οργανισμό. Για να αποφεύγεται η περιττή επεξεργασία δεδομένων προσωπικού χαρακτήρα, μπορεί να επιτρέπεται η ταυτοποίηση ενός φυσικού προσώπου μέσω του σημείου επαφής μόνο όταν αυτό είναι αναγκαίο [κατά την έννοια του κανονισμού (ΕΕ) 2016/679 και του κανονισμού (ΕΕ) 2018/1725].</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BT-506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Διεύθυνση </w:t>
            </w:r>
            <w:proofErr w:type="spellStart"/>
            <w:r w:rsidRPr="002A7538">
              <w:rPr>
                <w:sz w:val="16"/>
              </w:rPr>
              <w:t>ηλ</w:t>
            </w:r>
            <w:proofErr w:type="spellEnd"/>
            <w:r w:rsidRPr="002A7538">
              <w:rPr>
                <w:sz w:val="16"/>
              </w:rPr>
              <w:t>. ταχυδρομείου επικοινωνίας οργανισμού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Η διεύθυνση </w:t>
            </w:r>
            <w:proofErr w:type="spellStart"/>
            <w:r w:rsidRPr="002A7538">
              <w:rPr>
                <w:sz w:val="16"/>
              </w:rPr>
              <w:t>ηλ</w:t>
            </w:r>
            <w:proofErr w:type="spellEnd"/>
            <w:r w:rsidRPr="002A7538">
              <w:rPr>
                <w:sz w:val="16"/>
              </w:rPr>
              <w:t xml:space="preserve">. ταχυδρομείου για την επικοινωνία με τον οργανισμό. Για να αποφεύγεται η περιττή επεξεργασία δεδομένων προσωπικού χαρακτήρα, μπορεί να επιτρέπεται η ταυτοποίηση ενός φυσικού προσώπου μέσω της διεύθυνσης </w:t>
            </w:r>
            <w:proofErr w:type="spellStart"/>
            <w:r w:rsidRPr="002A7538">
              <w:rPr>
                <w:sz w:val="16"/>
              </w:rPr>
              <w:t>ηλ</w:t>
            </w:r>
            <w:proofErr w:type="spellEnd"/>
            <w:r w:rsidRPr="002A7538">
              <w:rPr>
                <w:sz w:val="16"/>
              </w:rPr>
              <w:t>. ταχυδρομείου μόνο όταν αυτό είναι αναγκαίο (κατά την έννοια του γενικού κανονισμού για την προστασία των δεδομένων).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60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BT-503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Αριθμός τηλεφώνου επικοινωνίας του οργανισμού </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τηλέφωνο για την επικοινωνία με τον οργανισμό. Για να αποφεύγεται η περιττή επεξεργασία δεδομένων προσωπικού χαρακτήρα, μπορεί να επιτρέπεται η ταυτοποίηση ενός φυσικού προσώπου μέσω του αριθμού τηλεφώνου μόνο όταν αυτό είναι αναγκαίο (κατά την έννοια του γενικού κανονισμού για την προστασία των δεδομένων).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57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BT-739</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Φαξ επικοινωνίας του οργανισμού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φαξ για την επικοινωνία με τον οργανισμό. Για να αποφεύγεται η περιττή επεξεργασία δεδομένων προσωπικού χαρακτήρα, μπορεί να επιτρέπεται η ταυτοποίηση ενός φυσικού προσώπου μέσω φαξ μόνο όταν αυτό είναι αναγκαίο (κατά την έννοια του γενικού κανονισμού για την προστασία των δεδομένων).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BT-505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Διεύθυνση του οργανισμού στο διαδίκτυο</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δικτυακός τόπος του οργανισμού</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URL</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BT-509</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Πύλη ηλεκτρονικής παράδοσης (</w:t>
            </w:r>
            <w:proofErr w:type="spellStart"/>
            <w:r w:rsidRPr="002A7538">
              <w:rPr>
                <w:sz w:val="16"/>
              </w:rPr>
              <w:t>eDelivery</w:t>
            </w:r>
            <w:proofErr w:type="spellEnd"/>
            <w:r w:rsidRPr="002A7538">
              <w:rPr>
                <w:sz w:val="16"/>
              </w:rPr>
              <w:t xml:space="preserve"> </w:t>
            </w:r>
            <w:proofErr w:type="spellStart"/>
            <w:r w:rsidRPr="002A7538">
              <w:rPr>
                <w:sz w:val="16"/>
              </w:rPr>
              <w:t>Gateway</w:t>
            </w:r>
            <w:proofErr w:type="spellEnd"/>
            <w:r w:rsidRPr="002A7538">
              <w:rPr>
                <w:sz w:val="16"/>
              </w:rPr>
              <w:t>) του οργανισμού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Ο ενιαίος </w:t>
            </w:r>
            <w:proofErr w:type="spellStart"/>
            <w:r w:rsidRPr="002A7538">
              <w:rPr>
                <w:sz w:val="16"/>
              </w:rPr>
              <w:t>εντοπιστής</w:t>
            </w:r>
            <w:proofErr w:type="spellEnd"/>
            <w:r w:rsidRPr="002A7538">
              <w:rPr>
                <w:sz w:val="16"/>
              </w:rPr>
              <w:t xml:space="preserve"> πόρου του οργανισμού για την ανταλλαγή δεδομένων και εγγράφων.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URL</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78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BT-08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Ρόλος οργανισμού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ρόλος του οργανισμού στη διαδικασία σύναψης σύμβασης (π.χ. αγοραστής, νικητής). Η προκήρυξη/γνωστοποίηση πρέπει να περιέχει όλους τους οργανισμούς που συμμετέχουν στη διαδικασία και έχουν τον ρόλο αγοραστή· νικητή· φορέα επανεξέτασης· αγοραστή που αγοράζει αγαθά και/ή υπηρεσίες που προορίζονται για άλλους αγοραστές· αγοραστή που αναθέτει δημόσιες συμβάσεις ή συνάπτει συμφωνίες-πλαίσια για έργα, προμήθειες ή υπηρεσίες που προορίζονται για άλλους αγοραστές.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BT-770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Επιμέρους ρόλος οργανισμού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επιμέρους ρόλος του οργανισμού στη διαδικασία σύναψης σύμβασης (π.χ. επικεφαλής ομάδας, οργανισμός που παρέχει πρόσθετες πληροφορίες σχετικά με τη διαδικασία σύναψης σύμβασης).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BG-3</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Αγοραστής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Περισσότερες πληροφορίες για τον αγοραστή</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BT-508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URL του «προφίλ αγοραστή»</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δικτυακός τόπος στον οποίο ο αγοραστής δημοσιεύει πληροφορίες σχετικά με τις διαδικασίες σύναψης συμβάσεων (π.χ. προκηρύξεις και γνωστοποιήσεις, έγγραφα προμηθειών).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URL</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Νομικός τύπος αγοραστή</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τύπος του αγοραστή σύμφωνα με τη νομοθεσία περί δημοσίων συμβάσεων (π.χ. κεντρική κυβέρνηση, οργανισμός δημοσίου δικαίου, δημόσια επιχείρηση).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BT-740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Αγοραστής αναθέτων φορέας </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αγοραστής είναι ένας αναθέτων φορέας.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Δραστηριότητα αρχής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κύρια δραστηριότητα της αναθέτουσας αρχής.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BT-610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Δραστηριότητα οντότητας </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κύρια δραστηριότητα της αναθέτουσας οντότητας.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BG-4</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Νικητής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Περισσότερες πληροφορίες για τον νικητή</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062F0A"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062F0A"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062F0A"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062F0A"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062F0A"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BT-165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Μέγεθος νικητή</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μέγεθος του νικητή (π.χ. πολύ μικρή επιχείρηση, μικρή επιχείρηση, μεσαία επιχείρηση).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613"/>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BT-706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Ιθαγένεια νικητή</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ιθαγένεια (ή οι ιθαγένειες) του/των δικαιούχου/-ων του/των νικητή/-ων, όπως δημοσιεύονται στο/στα μητρώο/-α που θεσπίστηκε/-αν από τη νομοθεσία για την καταπολέμηση της νομιμοποίησης εσόδων από παράνομες δραστηριότητες. Εάν δεν υπάρχει τέτοιο μητρώο (π.χ. στην περίπτωση αναδόχων εκτός ΕΕ), τότε παρατίθενται ισοδύναμες πληροφορίες από άλλες πηγές.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9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BT-746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Εισηγμένος νικητής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ιθαγένεια (ή οι ιθαγένειες) του/των δικαιούχου/-ων του/των δικαιούχου/-ων του/των νικητή/-ων δεν δημοσιεύεται/-</w:t>
            </w:r>
            <w:proofErr w:type="spellStart"/>
            <w:r w:rsidRPr="002A7538">
              <w:rPr>
                <w:sz w:val="16"/>
              </w:rPr>
              <w:t>ονται</w:t>
            </w:r>
            <w:proofErr w:type="spellEnd"/>
            <w:r w:rsidRPr="002A7538">
              <w:rPr>
                <w:sz w:val="16"/>
              </w:rPr>
              <w:t xml:space="preserve"> στο/στα μητρώο/-α που θεσπίζεται/-</w:t>
            </w:r>
            <w:proofErr w:type="spellStart"/>
            <w:r w:rsidRPr="002A7538">
              <w:rPr>
                <w:sz w:val="16"/>
              </w:rPr>
              <w:t>ονται</w:t>
            </w:r>
            <w:proofErr w:type="spellEnd"/>
            <w:r w:rsidRPr="002A7538">
              <w:rPr>
                <w:sz w:val="16"/>
              </w:rPr>
              <w:t xml:space="preserve"> από τη νομοθεσία για την καταπολέμηση της νομιμοποίησης εσόδων από παράνομες δραστηριότητες, διότι ο νικητής είναι εισηγμένος σε ρυθμιζόμενη αγορά (π.χ. χρηματιστήριο) που εξασφαλίζει επαρκή διαφάνεια σύμφωνα με τη νομοθεσία για την καταπολέμηση της νομιμοποίησης εσόδων από παράνομες δραστηριότητες.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78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BG-2</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Σκοπός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για τον σκοπό. Οι πληροφορίες αυτές πρέπει να παρέχονται για το σύνολο της διαδικασίας προμήθειας και, εφόσον υπάρχουν, ανά τμήμα. Στην περίπτωση προκαταρκτικής προκήρυξης ή περιοδικής ενδεικτικής προκήρυξης που χρησιμοποιούνται μόνο για ενημέρωση, οι πληροφορίες αυτές μπορεί να διαφέρουν ανά μέρος της προκήρυξης που ενδέχεται να καταστεί αργότερα τμήμα ή αυτόνομη διαδικασία.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885"/>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BT-22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Εσωτερικό αναγνωριστικό</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Το εσωτερικό αναγνωριστικό που χρησιμοποιείται για αρχεία που αφορούν τη διαδικασία προμήθειας ή </w:t>
            </w:r>
            <w:proofErr w:type="spellStart"/>
            <w:r w:rsidRPr="002A7538">
              <w:rPr>
                <w:sz w:val="16"/>
              </w:rPr>
              <w:t>τo</w:t>
            </w:r>
            <w:proofErr w:type="spellEnd"/>
            <w:r w:rsidRPr="002A7538">
              <w:rPr>
                <w:sz w:val="16"/>
              </w:rPr>
              <w:t xml:space="preserve"> τμήμα πριν από τη χορήγηση αναγνωριστικού διαδικασίας (π.χ. από το σύστημα διαχείρισης εγγράφων του αγοραστή ή το σύστημα προγραμματισμού της προμήθειας). </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90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BT-23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Κύριος χαρακτήρας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κύριος χαρακτήρας (π.χ. έργα) του αντικειμένου που αγοράζεται. Σε περίπτωση μεικτής σύμβασης (π.χ. διαδικασία για έργα και υπηρεσίες), ο κύριος χαρακτήρας μπορεί να είναι, για παράδειγμα, εκείνος που έχει την υψηλότερη εκτιμώμενη αξία. Οι πληροφορίες αυτές πρέπει να παρέχονται για όλη τη διαδικασία.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BT-531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Πρόσθετος χαρακτήρας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χαρακτήρας (π.χ. έργα) του αντικειμένου που αγοράζεται, επιπλέον του κύριου χαρακτήρα.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BT-21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Τίτλος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ονομασία της διαδικασίας προμήθειας ή του τμήματος.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BT-24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Περιγραφή της φύσης και της ποσότητας των αγορασθέντων ή των αναγκών και των απαιτήσεων που πρέπει να πληρούνται στο πλαίσιο της παρούσας διαδικασίας ή τμήματος. Σε περίπτωση προκήρυξης/γνωστοποίησης τροποποίησης, η περιγραφή της προμήθειας πριν και μετά την τροποποίηση.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78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BT-27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Εκτιμώμενη αξία</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εκτιμώμενη μέγιστη αξία της διαδικασίας προμήθειας ή του τμήματος. Ο όρος «εκτιμώμενη» αναφέρεται στην εκτίμηση κατά τον χρόνο έναρξης της προκήρυξης του διαγωνισμού. Ως μέγιστη αξία νοείται η αξία που καλύπτει όλες τις συμβάσεις που πρόκειται να ανατεθούν στο πλαίσιο μιας συμφωνίας-πλαισίου ή ενός δυναμικού συστήματος αγορών, για όλη τη διάρκειά τους, συμπεριλαμβανομένων των δικαιωμάτων προαίρεσης και των παρατάσεων.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Αξία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78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BG-557</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Εκτιμώμενη μέγιστη αξία συμφωνίας-πλαισίου εντός ομάδας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την εκτιμώμενη μέγιστη αξία που μπορεί να δαπανηθεί σε συμφωνία-πλαίσιο εντός μιας ομάδας τμημάτων. Οι πληροφορίες αυτές μπορούν να παρέχονται όταν η εκτιμώμενη μέγιστη αξία μιας ομάδας τμημάτων είναι χαμηλότερη από το άθροισμα των εκτιμώμενων αξιών μεμονωμένων τμημάτων της ομάδας αυτής (π.χ. όταν ο ίδιος προϋπολογισμός κατανέμεται σε περισσότερα τμήματα).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BT-557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τμημάτων με την εκτιμώμενη μέγιστη αξία σε συμφωνία-πλαίσιο εντός ομάδας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Αναγνωριστικά των τμημάτων. Τα εν λόγω τμήματα αποτελούν μια ομάδα η εκτιμώμενη μέγιστη αξία της οποίας είναι χαμηλότερη από το άθροισμα των εκτιμώμενων μέγιστων τιμών όλων των τμημάτων μαζί (π.χ. όταν ο ίδιος προϋπολογισμός κατανέμεται σε περισσότερα τμήματα).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130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BT-157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Εκτιμώμενη μέγιστη αξία συμφωνίας-πλαισίου εντός ομάδας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εκτιμώμενη μέγιστη αξία που μπορεί να δαπανηθεί σε συμφωνία-πλαίσιο εντός μιας ομάδας τμημάτων. Οι πληροφορίες αυτές μπορούν να παρέχονται όταν η εκτιμώμενη μέγιστη αξία μιας ομάδας τμημάτων είναι χαμηλότερη από το άθροισμα των εκτιμώμενων αξιών μεμονωμένων τμημάτων της ομάδας αυτής (π.χ. όταν ο ίδιος προϋπολογισμός κατανέμεται σε περισσότερα τμήματα). Ο όρος «εκτιμώμενη» αναφέρεται στην εκτίμηση κατά τον χρόνο έναρξης της προκήρυξης του διαγωνισμού. Ως μέγιστη αξία νοείται η αξία που καλύπτει όλες τις συμβάσεις που πρόκειται να ανατεθούν στο πλαίσιο μιας συμφωνίας-πλαισίου ή ενός δυναμικού συστήματος αγορών, για όλη τη διάρκειά τους, συμπεριλαμβανομένων των δικαιωμάτων προαίρεσης και των παρατάσεων.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Αξία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104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BG-261</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Κατάταξη</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την/τις ταξινόμηση/-</w:t>
            </w:r>
            <w:proofErr w:type="spellStart"/>
            <w:r w:rsidRPr="002A7538">
              <w:rPr>
                <w:sz w:val="16"/>
              </w:rPr>
              <w:t>ήσεις</w:t>
            </w:r>
            <w:proofErr w:type="spellEnd"/>
            <w:r w:rsidRPr="002A7538">
              <w:rPr>
                <w:sz w:val="16"/>
              </w:rPr>
              <w:t xml:space="preserve"> που περιγράφει/-</w:t>
            </w:r>
            <w:proofErr w:type="spellStart"/>
            <w:r w:rsidRPr="002A7538">
              <w:rPr>
                <w:sz w:val="16"/>
              </w:rPr>
              <w:t>ουν</w:t>
            </w:r>
            <w:proofErr w:type="spellEnd"/>
            <w:r w:rsidRPr="002A7538">
              <w:rPr>
                <w:sz w:val="16"/>
              </w:rPr>
              <w:t xml:space="preserve"> την αγορά. Πρέπει να χρησιμοποιηθεί το είδος ταξινόμησης του κοινού λεξιλογίου για τις δημόσιες συμβάσεις (CPV). Επιπλέον, μπορούν να χρησιμοποιηθούν άλλες ταξινομήσεις [π.χ. η ανατομική θεραπευτική χημική ταξινόμηση του Παγκόσμιου Οργανισμού Υγείας (ATC) για τα φαρμακευτικά προϊόντα· η ονοματολογία των ιατροτεχνολογικών προϊόντων στο πλαίσιο του κανονισμού (ΕΕ) 2017/745], εάν διατεθούν από την Υπηρεσία Εκδόσεων της ΕΕ.</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BT-26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Είδος ταξινόμησης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είδος της ταξινόμησης που περιγράφει την αγορά (π.χ. το κοινό λεξιλόγιο για τις δημόσιες συμβάσεις).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BT-262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Κύριος κωδικός ταξινόμησης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κωδικός της ταξινόμησης που χαρακτηρίζει καλύτερα την αγορά.</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BT-263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Επιπλέον κωδικοί ταξινόμησης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Ένας επιπλέον κωδικός ταξινόμησης που επίσης χαρακτηρίζει την αγορά.</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BT-25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Ποσότητα</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αριθμός των απαιτούμενων μονάδων.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BT-625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Μονάδα</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Η μονάδα με την οποία μετράται το αγαθό, η υπηρεσία ή η εργασία, π.χ. ώρες ή χιλιόγραμμα. Όταν ο κωδικός CPV αποτελεί παροχή η οποία δεν απαιτεί άλλη μονάδα (π.χ. αυτοκίνητα), τότε δεν χρειάζεται να αναφέρεται καμία μονάδα και η ποσότητα θεωρείται αριθμός, π.χ. ο «αριθμός των αυτοκινήτων». </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Επιλογές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αγοραστής διατηρεί το δικαίωμα (όχι υποχρέωση) για πρόσθετες αγορές από τον ανάδοχο (ενόσω η σύμβαση είναι έγκυρη).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επιλογών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περιγραφή των επιλογών.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78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BT-94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Επανάληψη </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Προμήθειες των οποίων ο σκοπός είναι πιθανό να περιληφθεί και σε άλλη διαδικασία στο άμεσο μέλλον. (Για παράδειγμα, δημοτική υπηρεσία που δημοπρατείται τακτικά. Αυτό δεν περιλαμβάνει την ανάθεση πολλαπλών συμβάσεων στο πλαίσιο ενός ενιαίου συστήματος προεπιλογής, συμφωνίας-πλαισίου ή δυναμικού συστήματος αγορών).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BT-95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επανάληψης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Τυχόν πρόσθετες πληροφορίες για την επανάληψη (π.χ. εκτιμώμενο χρονοδιάγραμμα).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EC4689" w:rsidRPr="002A7538" w:rsidTr="00293701">
        <w:trPr>
          <w:trHeight w:val="104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BG-708</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Τόπος εκτέλεσης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τον κύριο τόπο εκτέλεσης των έργων σε περίπτωση έργων· κύριος τόπος παράδοσης ή εκτέλεσης σε περίπτωση προμηθειών και υπηρεσιών. Εάν ο τόπος επιδόσεων καλύπτει διάφορες περιοχές NUTS 3 (π.χ. ένας αυτοκινητόδρομος, ένα εθνικό δίκτυο κέντρων εργασίας), τότε πρέπει να αναφέρονται όλοι οι σχετικοί κωδικοί. Οι πληροφορίες αυτές μπορεί να διαφέρουν ανά τμήμα. Στην περίπτωση προκαταρκτικής προκήρυξης ή περιοδικής ενδεικτικής προκήρυξης που χρησιμοποιούνται μόνο για ενημέρωση, οι πληροφορίες αυτές μπορεί να διαφέρουν ανά μέρος της προκήρυξης που ενδέχεται να καταστεί αργότερα τμήμα ή αυτόνομη διαδικασία.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BT-5101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Τόπος, οδός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ονομασία της οδού, της λεωφόρου κ.λπ. του τόπου εκτέλεσης και περαιτέρω ταυτοποίηση (π.χ. αριθμός κτιρίου).</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BT-5131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Τόπος, πόλη</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ονομασία του τόπου (πόλη ή χωριό) του τόπου εκτέλεσης.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BT-5121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Τόπος, ταχυδρομικός κωδικός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ταχυδρομικός κωδικός του τόπου εκτέλεσης.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BT-5071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Υποδιαίρεση χώρας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τοποθεσία σύμφωνα με την κοινή ταξινόμηση των εδαφικών στατιστικών μονάδων (NUTS). Πρέπει να χρησιμοποιείται ο κωδικός ταξινόμησης NUTS3.</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BT-5141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Τόπος, κωδικός χώρας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χώρα του τόπου εκτέλεσης.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BT-727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Τόπος παροχής υπηρεσιών, άλλος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Υπάρχουν άλλοι περιορισμοί στον τόπο εκτέλεσης (π.χ. «οπουδήποτε στον Ευρωπαϊκό Οικονομικό Χώρο», «οπουδήποτε στη συγκεκριμένη χώρα»). </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BT-728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Τόπος, συμπληρωματικές πληροφορίες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Συμπληρωματικές πληροφορίες για τον τόπο εκτέλεσης.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EC4689" w:rsidRPr="002A7538" w:rsidTr="00293701">
        <w:trPr>
          <w:trHeight w:val="78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BG-36</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Διάρκεια</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τη διάρκεια της σύμβασης, της συμφωνίας-πλαισίου, του δυναμικού συστήματος αγορών ή του συστήματος προεπιλογής. Αυτό πρέπει να περιλαμβάνει τυχόν δικαιώματα προαίρεσης και παρατάσεις. Οι πληροφορίες αυτές μπορεί να διαφέρουν ανά τμήμα. Στην περίπτωση προκαταρκτικής προκήρυξης ή περιοδικής ενδεικτικής προκήρυξης που χρησιμοποιούνται μόνο για ενημέρωση, οι πληροφορίες αυτές μπορεί να διαφέρουν ανά μέρος της προκήρυξης που ενδέχεται να καταστεί αργότερα τμήμα ή αυτόνομη διαδικασία.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BT-536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Διάρκεια, ημερομηνία έναρξης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(εκτιμώμενη) ημερομηνία έναρξης ισχύος της σύμβασης, της συμφωνίας-πλαισίου, του δυναμικού συστήματος αγορών ή του συστήματος προεπιλογής.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BT-36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Περίοδος διάρκειας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(εκτιμώμενη) περίοδος από την έναρξη έως τη λήξη της σύμβασης, της συμφωνίας-πλαισίου, του δυναμικού συστήματος αγορών ή του συστήματος προεπιλογής. Αυτό πρέπει να περιλαμβάνει τυχόν δικαιώματα προαίρεσης και παρατάσεις.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Διάρκεια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BT-537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Διάρκεια, ημερομηνία λήξης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(εκτιμώμενη) ημερομηνία λήξης ισχύος της σύμβασης, της συμφωνίας-πλαισίου, του δυναμικού συστήματος αγορών ή του συστήματος προεπιλογής.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BT-538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Διάρκεια, άλλο</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διάρκεια είναι άγνωστη, απεριόριστη κ.λπ.</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78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Μέγιστη παράταση</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μέγιστος αριθμός παρατάσεων της σύμβασης. Με την παράταση, ο αγοραστής διατηρεί το δικαίωμα (δηλαδή όχι την υποχρέωση) να ανανεώσει τη σύμβαση (δηλαδή να παρατείνει τη διάρκειά της) χωρίς νέα διαδικασία προμήθειας. Για παράδειγμα, μια σύμβαση μπορεί να ισχύει για ένα έτος και ο αγοραστής μπορεί να διατηρήσει τη δυνατότητα να την ανανεώσει (π.χ. μία, δύο φορές) για άλλους τρεις μήνες, εάν είναι ικανοποιημένος με τις υπηρεσίες που έλαβε.</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της παράτασης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Κάθε άλλη πληροφορία σχετικά με την/τις παράταση/-εις.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BG-61</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Ταμεία ΕΕ</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τα ταμεία της Ευρωπαϊκής Ένωσης που χρησιμοποιήθηκαν για τη χρηματοδότηση της προμήθειας. Οι πληροφορίες αυτές μπορεί να διαφέρουν ανά τμήμα.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062F0A"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062F0A"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062F0A"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BT-60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Ταμεία ΕΕ</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Οι δημόσιες συμβάσεις χρηματοδοτούνται τουλάχιστον εν μέρει από ταμεία της Ευρωπαϊκής Ένωσης, όπως τα Ευρωπαϊκά Διαρθρωτικά και Επενδυτικά Ταμεία, ή από επιχορηγήσεις της Ευρωπαϊκής Ένωσης.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062F0A"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BG-6</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Διαδικασία</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τη διαδικασία σύναψης συμβάσεων.</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062F0A"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D74FDC" w:rsidP="00D74FDC">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BT-09</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Διασυνοριακή νομοθεσία</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εφαρμοστέο δίκαιο όταν αγοραστές από διαφορετικές χώρες προμηθεύονται από κοινού στο πλαίσιο μίας διαδικασίας σύναψης σύμβασης.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BT-105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Είδος διαδικασίας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Είδος της διαδικασίας σύναψης σύμβασης (π.χ. σύμφωνα με τα είδη που αναφέρονται στις οδηγίες για τις δημόσιες συμβάσεις).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104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BT-88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Χαρακτηριστικά της διαδικασίας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Τα κύρια χαρακτηριστικά της διαδικασίας (π.χ. περιγραφή καθενός από τα στάδιά της) και πληροφορίες σχετικά με το πού μπορούν να βρεθούν οι πλήρεις κανόνες για τη διαδικασία. Οι πληροφορίες αυτές πρέπει να παρέχονται όταν η διαδικασία δεν είναι μία από τις αναφερόμενες στις οδηγίες για τις δημόσιες συμβάσεις. Αυτό μπορεί να συμβεί, για παράδειγμα, στην περίπτωση συμβάσεων παραχώρησης, για κοινωνικές και άλλες ειδικές υπηρεσίες, και σε περίπτωση εκούσιας δημοσίευσης των διαδικασιών σύναψης συμβάσεων που βρίσκονται κάτω από το κατώτατο όριο της ΕΕ για τις δημόσιες συμβάσεις.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BT-106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Ταχεία διαδικασία</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προθεσμία παραλαβής των αιτήσεων συμμετοχής ή των προσφορών στο πλαίσιο της παρούσας διαδικασίας μπορεί να συντομευθεί λόγω κατάστασης έκτακτης ανάγκης.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BT-1351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Αιτιολόγηση ταχείας διαδικασίας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αιτιολόγηση για τη χρήση ταχείας διαδικασίας.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BT-136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Κωδικός αιτιολόγησης απευθείας ανάθεσης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Αιτιολόγηση για τη χρήση διαδικασίας που επιτρέπει την απευθείας ανάθεση συμβάσεων, δηλαδή διαδικασία που δεν απαιτεί τη δημοσίευση προκήρυξης διαγωνισμού στην Επίσημη Εφημερίδα της Ευρωπαϊκής Ένωσης.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BT-1252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Προηγούμενης διαδικασίας αναγνωριστικό αιτιολόγησης της απευθείας ανάθεσης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Αναγνωριστικό προηγούμενης διαδικασίας που αιτιολογεί τη χρήση διαδικασίας που επιτρέπει την απευθείας ανάθεση συμβάσεων, δηλαδή αιτιολόγηση διαδικασίας που δεν απαιτεί τη δημοσίευση προκήρυξης διαγωνισμού στην Επίσημη Εφημερίδα της Ευρωπαϊκής Ένωσης.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BT-135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Κείμενο αιτιολόγησης απευθείας ανάθεσης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αιτιολόγηση για τη χρήση διαδικασίας που επιτρέπει την απευθείας ανάθεση συμβάσεων, δηλαδή διαδικασία που δεν απαιτεί τη δημοσίευση προκήρυξης διαγωνισμού στην Επίσημη Εφημερίδα της Ευρωπαϊκής Ένωσης.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BT-31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Μέγιστος αριθμός επιτρεπόμενων τμημάτων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μέγιστος αριθμός τμημάτων για τα οποία ένας προσφέρων μπορεί να υποβάλει προσφορές.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BT-763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Όλα τα τμήματα υποχρεωτικά</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προσφέρων πρέπει να υποβάλει προσφορές για όλα τα τμήματα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BT-33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Μέγιστος αριθμός ανατιθέμενων τμημάτων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μέγιστος αριθμός των τμημάτων για τα οποία μπορεί να ανατεθεί/-</w:t>
            </w:r>
            <w:proofErr w:type="spellStart"/>
            <w:r w:rsidRPr="002A7538">
              <w:rPr>
                <w:sz w:val="16"/>
              </w:rPr>
              <w:t>ούν</w:t>
            </w:r>
            <w:proofErr w:type="spellEnd"/>
            <w:r w:rsidRPr="002A7538">
              <w:rPr>
                <w:sz w:val="16"/>
              </w:rPr>
              <w:t xml:space="preserve"> σύμβαση/-εις σε έναν ανάδοχο.</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78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BG-330</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Ανάθεση σε ομάδα</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Οι προσφέροντες μπορούν να υποβάλουν προσφορές όχι μόνο για μεμονωμένα τμήματα, αλλά και για τις ομάδες τμημάτων που αναφέρονται εδώ. Ο αγοραστής μπορεί στη συνέχεια να συγκρίνει τις προσφορές που υποβάλλονται για ομάδες τμημάτων με εκείνες που υποβάλλονται για μεμονωμένα τμήματα και να αξιολογεί ποια επιλογή ανταποκρίνεται καλύτερα στα κριτήρια ανάθεσης. Κάθε ομάδα τμημάτων πρέπει να έχει σαφή κριτήρια ανάθεσης.</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BT-330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ομάδας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αναγνωριστικό μιας ομάδας τμημάτων στο πλαίσιο της διαδικασίας.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BT-1375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τμημάτων ομάδας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Αναγνωριστικό διαφόρων τμημάτων στο πλαίσιο της παρούσας διαδικασίας. Τα τμήματα αυτά αποτελούν μια ομάδα τμημάτων για την οποία μπορεί να υποβληθεί και να αξιολογηθεί μία προσφορά.</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BG-709</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Δεύτερο στάδιο</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το δεύτερο στάδιο μιας διαδικασίας δύο σταδίων. Οι πληροφορίες αυτές μπορεί να διαφέρουν ανά τμήμα.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Ελάχιστος αριθμός υποψηφίων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ελάχιστος αριθμός υποψηφίων που θα κληθούν για το δεύτερο στάδιο της διαδικασίας.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Μέγιστος αριθμός υποψηφίων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μέγιστος αριθμός υποψηφίων που θα κληθούν για το δεύτερο στάδιο της διαδικασίας.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Διαδοχικός αποκλεισμός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διαδικασία διεξάγεται σε διαδοχικές φάσεις. Σε κάθε φάση, ορισμένοι συμμετέχοντες μπορεί να αποκλειστούν.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BT-120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Δεν χρειάζεται διαπραγμάτευση</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αγοραστής διατηρεί το δικαίωμα να αναθέσει τη σύμβαση βάσει των αρχικών προσφορών χωρίς περαιτέρω διαπραγματεύσεις.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BG-704</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Βραβεία και κριτική επιτροπή</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τα βραβεία και την κριτική επιτροπή σε διαγωνισμό μελετών. Οι πληροφορίες αυτές μπορεί να διαφέρουν ανά τμήμα.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BG-44</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Βραβείο</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τον αριθμό και την αξία των βραβείων για τον νικητή του διαγωνισμού μελετών (π.χ. «1η θέση - 10 000 EUR», «2η θέση – 5 000 EUR»).</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BT-644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Αξία του βραβείου</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αξία ενός βραβείου, εάν υπάρχει, για τον νικητή (ή επιλαχόντες) του διαγωνισμού μελετών.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Αξία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BT-44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Κατάταξη βραβείου</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Ποια θέση (π.χ. πρώτη θέση, δεύτερη θέση) λαμβάνει το βραβείο σε διαγωνισμό μελετών.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BT-41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Επακόλουθη σύμβαση</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Συμβάσεις που έπονται του διαγωνισμού θα ανατεθούν σε έναν από τους νικητές του διαγωνισμού.</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BT-45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Βραβεία, άλλο</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Περαιτέρω πληροφορίες σχετικά με τις επακόλουθες συμβάσεις, τα βραβεία και τις πληρωμές (π.χ., μη χρηματικά βραβεία, πληρωμές για συμμετοχή).</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BT-42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Δεσμευτική απόφαση της κριτικής επιτροπής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απόφαση της κριτικής επιτροπής είναι δεσμευτική για τον αγοραστή.</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BT-46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Όνομα μέλους της κριτικής επιτροπής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Όνομα ενός μέλους της κριτικής επιτροπής.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78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BT-47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Όνομα συμμετέχοντος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Όνομα ήδη επιλεγμένου συμμετέχοντος. Ένας συμμετέχων θα μπορούσε να έχει επιλεγεί ήδη κατά τη δημοσίευση της προκήρυξης του διαγωνισμού μελετών, διότι, για παράδειγμα, οι πληροφορίες σχετικά με τη συμμετοχή ενός παγκοσμίου φήμης αρχιτέκτονα προορίζονται για την προώθηση του διαγωνισμού μεταξύ άλλων δυνητικών συμμετεχόντων.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52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BG-701</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Λόγοι αποκλεισμού</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Η σύντομη περιγραφή των κριτηρίων σχετικά με την προσωπική κατάσταση των προσφερόντων που ενδέχεται να οδηγήσουν στον αποκλεισμό τους. Πρέπει να περιλαμβάνεται κατάλογος όλων αυτών των κριτηρίων και να αναγράφονται οι απαιτούμενες πληροφορίες (π.χ. υπεύθυνη δήλωση, τεκμηρίωση). Αυτό μπορεί επίσης να περιλαμβάνει συγκεκριμένους εθνικούς λόγους αποκλεισμού. </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BT-67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Λόγοι αποκλεισμού</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σύντομη περιγραφή των κριτηρίων σχετικά με την προσωπική κατάσταση των προσφερόντων που ενδέχεται να οδηγήσουν στον αποκλεισμό τους. Πρέπει να περιλαμβάνεται κατάλογος όλων αυτών των κριτηρίων και να αναγράφονται οι απαιτούμενες πληροφορίες (π.χ. υπεύθυνη δήλωση, τεκμηρίωση). Αυτό μπορεί επίσης να περιλαμβάνει συγκεκριμένους εθνικούς λόγους αποκλεισμού.</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BG-702</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Κριτήρια επιλογής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τα κριτήρια (ή το κριτήριο) επιλογής. Πρέπει να αναφέρονται όλα τα κριτήρια. Οι πληροφορίες αυτές μπορεί να διαφέρουν ανά τμήμα.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BT-747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Τύπος κριτηρίων επιλογής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Τα κριτήρια (ή το κριτήριο) αφορά/-</w:t>
            </w:r>
            <w:proofErr w:type="spellStart"/>
            <w:r w:rsidRPr="002A7538">
              <w:rPr>
                <w:sz w:val="16"/>
              </w:rPr>
              <w:t>ούν</w:t>
            </w:r>
            <w:proofErr w:type="spellEnd"/>
            <w:r w:rsidRPr="002A7538">
              <w:rPr>
                <w:sz w:val="16"/>
              </w:rPr>
              <w:t xml:space="preserve">, για παράδειγμα, την οικονομική και χρηματοοικονομική επάρκεια ή την τεχνική και επαγγελματική ικανότητα. </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BT-748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Κριτήρια επιλογής που χρησιμοποιήθηκαν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Τα κριτήρια (ή το κριτήριο) του συγκεκριμένου τύπου χρησιμοποιούνται/-</w:t>
            </w:r>
            <w:proofErr w:type="spellStart"/>
            <w:r w:rsidRPr="002A7538">
              <w:rPr>
                <w:sz w:val="16"/>
              </w:rPr>
              <w:t>είται</w:t>
            </w:r>
            <w:proofErr w:type="spellEnd"/>
            <w:r w:rsidRPr="002A7538">
              <w:rPr>
                <w:sz w:val="16"/>
              </w:rPr>
              <w:t>, δεν χρησιμοποιούνται/-</w:t>
            </w:r>
            <w:proofErr w:type="spellStart"/>
            <w:r w:rsidRPr="002A7538">
              <w:rPr>
                <w:sz w:val="16"/>
              </w:rPr>
              <w:t>είται</w:t>
            </w:r>
            <w:proofErr w:type="spellEnd"/>
            <w:r w:rsidRPr="002A7538">
              <w:rPr>
                <w:sz w:val="16"/>
              </w:rPr>
              <w:t>, ή (στην περίπτωση προκαταρκτικής προκήρυξης ή μιας περιοδικής ενδεικτικής προκήρυξης χρησιμοποιήθηκε/-αν ως προκήρυξη διαγωνισμού ή για τη μείωση των προθεσμιών), η χρήση δεν είναι ακόμη γνωστή.</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BT-749</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Όνομα κριτηρίου επιλογής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όνομα των κριτηρίων (ή του κριτηρίου) επιλογής.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78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BT-750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κριτηρίου επιλογής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σύντομη περιγραφή των κριτηρίων επιλογής (ή του κριτηρίου), συμπεριλαμβανομένων των ελάχιστων απαιτήσεων, των απαιτούμενων πληροφοριών (π.χ. υπεύθυνη δήλωση, τεκμηρίωση) και του τρόπου με τον οποίο τα κριτήρια ή το κριτήριο θα χρησιμοποιηθεί/-</w:t>
            </w:r>
            <w:proofErr w:type="spellStart"/>
            <w:r w:rsidRPr="002A7538">
              <w:rPr>
                <w:sz w:val="16"/>
              </w:rPr>
              <w:t>ούν</w:t>
            </w:r>
            <w:proofErr w:type="spellEnd"/>
            <w:r w:rsidRPr="002A7538">
              <w:rPr>
                <w:sz w:val="16"/>
              </w:rPr>
              <w:t xml:space="preserve"> για την επιλογή υποψηφίων που θα κληθούν στο δεύτερο στάδιο της διαδικασίας (εφόσον έχει καθοριστεί μέγιστος αριθμός υποψηφίων).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BT-40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Πρόσκληση σε δεύτερο στάδιο βάσει κριτηρίων επιλογής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Τα κριτήρια (ή το κριτήριο) θα χρησιμοποιηθούν/-</w:t>
            </w:r>
            <w:proofErr w:type="spellStart"/>
            <w:r w:rsidRPr="002A7538">
              <w:rPr>
                <w:sz w:val="16"/>
              </w:rPr>
              <w:t>εί</w:t>
            </w:r>
            <w:proofErr w:type="spellEnd"/>
            <w:r w:rsidRPr="002A7538">
              <w:rPr>
                <w:sz w:val="16"/>
              </w:rPr>
              <w:t xml:space="preserve"> (μόνο) για την επιλογή των υποψηφίων που θα κληθούν στο δεύτερο στάδιο της διαδικασίας (εφόσον έχει καθοριστεί μέγιστος αριθμός υποψηφίων).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52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BG-72</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Αριθμός σχετικός με πρόσκληση σε δεύτερο στάδιο βάσει κριτηρίων επιλογής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έναν αριθμό που συνδέεται με τα κριτήρια (ή το κριτήριο) επιλογής που χρησιμοποιείται/-</w:t>
            </w:r>
            <w:proofErr w:type="spellStart"/>
            <w:r w:rsidRPr="002A7538">
              <w:rPr>
                <w:sz w:val="16"/>
              </w:rPr>
              <w:t>ούνται</w:t>
            </w:r>
            <w:proofErr w:type="spellEnd"/>
            <w:r w:rsidRPr="002A7538">
              <w:rPr>
                <w:sz w:val="16"/>
              </w:rPr>
              <w:t xml:space="preserve"> για την επιλογή των υποψηφίων που θα κληθούν στο δεύτερο στάδιο της διαδικασίας.</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BT-752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Αριθμός σχετικός με πρόσκληση σε δεύτερο στάδιο βάσει κριτηρίων επιλογής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Αριθμός που συνδέεται με τα κριτήρια (ή το κριτήριο) επιλογής.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7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BT-7531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Στάθμιση αριθμού σχετικού με πρόσκληση σε δεύτερο στάδιο βάσει κριτηρίων επιλογής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κατά πόσον ο αριθμός που συνδέεται με ένα κριτήριο επιλογής (ή κριτήρια επιλογής) είναι συντελεστής στάθμισης (π.χ. ποσοστό).</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7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BT-7532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Κατώτατο όριο αριθμού σχετικού με πρόσκληση σε δεύτερο στάδιο βάσει κριτηρίων επιλογής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Εάν ο αριθμός που συνδέεται με ένα κριτήριο επιλογής (ή κριτήρια επιλογής) είναι ένας τύπος κατώτατου ορίου (π.χ. ελάχιστη βαθμολογία, μέγιστος αριθμός προσφορών με την υψηλότερη βαθμολογία).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104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BG-705</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Λοιπές προϋποθέσεις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τυχόν άλλες προϋποθέσεις συμμετοχής στη διαδικασία και τους όρους που διέπουν τη μελλοντική σύμβαση. Οι απαιτήσεις πρέπει να περιλαμβάνουν περιγραφή των μεθόδων σύμφωνα με τις οποίες θα επαληθεύονται. Οι πληροφορίες αυτές μπορεί να διαφέρουν ανά τμήμα. Στην περίπτωση προκαταρκτικής προκήρυξης ή περιοδικής ενδεικτικής προκήρυξης που χρησιμοποιούνται μόνο για ενημέρωση, οι πληροφορίες αυτές μπορεί να διαφέρουν ανά μέρος της προκήρυξης που ενδέχεται να καταστεί αργότερα τμήμα ή αυτόνομη διαδικασία.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Δεσμευμένη συμμετοχή</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κατά πόσον η συμμετοχή αφορά αποκλειστικά συγκεκριμένους οργανισμούς (π.χ. προστατευόμενα εργαστήρια, οργανώσεις που εκτελούν αποστολή δημόσιας υπηρεσίας).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BT-79</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Προσόντα προσωπικού εκτέλεσης σύμβασης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Πρέπει να αναφέρονται τα ονόματα και τα επαγγελματικά προσόντα του προσωπικού στο οποίο ανατίθεται η εκτέλεση της σύμβασης.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BT-578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Διαπίστευση ασφάλειας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Απαιτείται διαπίστευση ασφάλειας.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Προθεσμία διαπίστευσης ασφάλειας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χρονικό όριο εντός του οποίου οι προσφέροντες που δεν είναι κάτοχοι διαπίστευσης ασφάλειας μπορούν να την αποκτήσουν.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BT-732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διαπίστευσης ασφάλειας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Πρόσθετες πληροφορίες σχετικά με τη διαπίστευση ασφάλειας (π.χ. το απαιτούμενο επίπεδο διαπίστευσης ασφάλειας, ποια μέλη της ομάδας πρέπει να το κατέχουν, κατά πόσον είναι ήδη αναγκαίο για την πρόσβαση στα έγγραφα της προμήθειας ή μόνο για την εκτέλεση της σύμβασης).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78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BG-711</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Συμβατικοί όροι</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τους όρους που διέπουν τη μελλοντική σύμβαση. Οι πληροφορίες αυτές μπορεί να διαφέρουν ανά τμήμα. Στην περίπτωση προκαταρκτικής προκήρυξης ή περιοδικής ενδεικτικής προκήρυξης που χρησιμοποιούνται μόνο για ενημέρωση, οι πληροφορίες αυτές μπορεί να διαφέρουν ανά μέρος της προκήρυξης που ενδέχεται να καταστεί αργότερα τμήμα ή αυτόνομη διαδικασία.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BT-736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Αποκλειστική εκτέλεση</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Κατά πόσον η εκτέλεση της σύμβασης πρέπει να εκτελείται στο πλαίσιο προγραμμάτων προστατευόμενης απασχόλησης.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BT-761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Νομική μορφή του προσφέροντος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Μια ομάδα προσφερόντων στην οποία ανατίθεται σύμβαση πρέπει να λάβει συγκεκριμένη νομική μορφή.</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νομικής μορφής του προσφέροντος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νομική μορφή την οποία πρέπει να λάβει μια ομάδα προσφερόντων στην οποία ανατίθεται σύμβαση.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Όροι εκτέλεσης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Οι κύριες πληροφορίες σχετικά με την εκτέλεση της σύμβασης (π.χ. παραδοτέα ενδιάμεσα, αποζημίωση για ζημίες, δικαιώματα διανοητικής ιδιοκτησίας).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BT-92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Ηλεκτρονική παραγγελία</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Θα χρησιμοποιηθούν ηλεκτρονικές παραγγελίες.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Χρηματοπιστωτικοί όροι</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Οι κύριες πληροφορίες σχετικά με τη χρηματοδότηση και την πληρωμή και/ή παραπομπή σε τυχόν διατάξεις που τις διέπουν.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BT-743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Ηλεκτρονική τιμολόγηση</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κατά πόσον ο αγοραστής θα απαιτεί, θα επιτρέπει ή δεν θα επιτρέπει την έκδοση ηλεκτρονικών τιμολογίων.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BT-93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Ηλεκτρονική πληρωμή</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Θα χρησιμοποιηθούν ηλεκτρονικές πληρωμές.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BT-65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Υποχρέωση υπεργολαβίας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Υποχρέωση που οφείλει να τηρήσει ο προσφέρων σχετικά με τις υπεργολαβίες.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BT-64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Υποχρέωση ελάχιστης υπεργολαβίας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ελάχιστο ποσοστό της αξίας της σύμβασης που ο αντισυμβαλλόμενος πρέπει να αναθέσει σε υπεργολάβο με τη διαδικασία του ανταγωνισμού που περιγράφεται στον τίτλο III της οδηγίας 2009/81/ΕΚ.</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BT-729</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Υποχρέωση μέγιστης υπεργολαβίας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μέγιστο ποσοστό της αξίας της σύμβασης που ο αντισυμβαλλόμενος πρέπει να αναθέσει σε υπεργολάβο με τη διαδικασία του ανταγωνισμού που περιγράφεται στον τίτλο III της οδηγίας 2009/81/ΕΚ.</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BG-707</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Κριτήρια ανάθεσης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τα κριτήρια ανάθεσης. Οι πληροφορίες αυτές μπορεί να διαφέρουν ανά τμήμα.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BG-38</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Κριτήριο ανάθεσης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το κριτήριο ανάθεσης.</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BT-539</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Τύπος κριτηρίου ανάθεσης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κατά πόσον το κριτήριο αφορά την τιμή, το κόστος ή μη τιμολογιακό, μη κοστολογικό χαρακτηριστικό της προσφοράς. (Η τιμή είναι η τιμή κτήσης· κόστος είναι κάθε άλλο μη τιμολογιακό οικονομικό κριτήριο.)</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BT-734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Όνομα κριτηρίου ανάθεσης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όνομα του κριτηρίου ανάθεσης.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BT-540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κριτηρίου ανάθεσης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περιγραφή του κριτηρίου ανάθεσης.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177755">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BG-541</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Αριθμός κριτηρίου ανάθεσης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έναν αριθμό που συνδέεται με το κριτήριο ανάθεσης.</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BT-541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Αριθμός κριτηρίου ανάθεσης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Αριθμός που συνδέεται με το κριτήριο ανάθεσης.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BT-5421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Στάθμιση αριθμού κριτηρίου ανάθεσης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κατά πόσον ο αριθμός που συνδέεται με ένα κριτήριο ανάθεσης είναι συντελεστής στάθμισης (π.χ. ποσοστό).</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BT-5422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Καθορισμένος αριθμός κριτηρίου ανάθεσης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Αν ο αριθμός που συνδέεται με ένα κριτήριο ανάθεσης είναι μια καθορισμένη τιμή (π.χ. μια κατ’ αποκοπή τιμή, ένα σταθερό κόστος).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BT-5423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Κατώτατο όριο αριθμού κριτηρίου ανάθεσης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κατά πόσον ο αριθμός που συνδέεται με ένα κριτήριο ανάθεσης είναι ένας τύπος κατώτατου ορίου (π.χ. ελάχιστη βαθμολογία, μέγιστος αριθμός προσφορών με την υψηλότερη βαθμολογία).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BT-543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Πολύπλοκα κριτήρια ανάθεσης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Η μαθηματική εξίσωση ή οποιαδήποτε άλλη περιγραφή που χρησιμοποιείται για την πολύπλοκη στάθμιση κριτηρίων (π.χ. μη γραμμική στάθμιση, η διαδικασία αναλυτικής ιεράρχησης) όταν μια στάθμιση δεν μπορεί να εκφραστεί ανά κριτήριο. </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BT-733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Αιτιολόγηση κατάταξης κριτηρίων ανάθεσης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αιτιολόγηση της αποκλειστικής αναφοράς της κατάταξης των κριτηρίων ανάθεσης ανά σπουδαιότητα και όχι ανά στάθμιση.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104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BG-706</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Τεχνικές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τη χρήση συνόλων τεχνικών όπως οι συμφωνίες-πλαίσιο χωρίς διεξαγωγή νέου διαγωνισμού, οι συμφωνίες-πλαίσιο με διεξαγωγή νέου διαγωνισμού, τα δυναμικά συστήματα αγορών, οι ηλεκτρονικοί πλειστηριασμοί και οι ηλεκτρονικές παραγγελίες. Οι πληροφορίες αυτές μπορεί να διαφέρουν ανά τμήμα. Στην περίπτωση προκαταρκτικής προκήρυξης ή περιοδικής ενδεικτικής προκήρυξης που χρησιμοποιούνται μόνο για ενημέρωση, οι πληροφορίες αυτές μπορεί να διαφέρουν ανά μέρος της προκήρυξης που ενδέχεται να καταστεί αργότερα τμήμα ή αυτόνομη διαδικασία.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BT-765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Συμφωνία-πλαίσιο</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κατά πόσον εμπλέκεται συμφωνία-πλαίσιο με, χωρίς ή με και χωρίς προκήρυξη νέου διαγωνισμού.</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2524AE" w:rsidP="00702A07">
            <w:pPr>
              <w:spacing w:before="0" w:after="0"/>
              <w:jc w:val="center"/>
              <w:rPr>
                <w:rFonts w:eastAsia="Times New Roman"/>
                <w:sz w:val="16"/>
                <w:szCs w:val="16"/>
              </w:rPr>
            </w:pPr>
            <w:r w:rsidRPr="002A7538">
              <w:rPr>
                <w:sz w:val="16"/>
              </w:rPr>
              <w:t>BT-778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Μέγιστος αριθμός συμμετεχόντων σε συμφωνία-πλαίσιο</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Υπάρχει ένας μέγιστος αριθμός συμμετεχόντων στη συμφωνία-πλαίσιο.</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BT-113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Μέγιστος αριθμός συμμετεχόντων σε συμφωνία-πλαίσιο</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μέγιστος αριθμός συμμετεχόντων στη συμφωνία-πλαίσιο.</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BT-109</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Αιτιολόγηση διάρκειας συμφωνίας-πλαισίου</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Αιτιολόγηση για τις εξαιρετικές περιπτώσεις όπου η διάρκεια των συμφωνιών-πλαισίων υπερβαίνει τα νόμιμα όρια. (Τέσσερα έτη στην περίπτωση της οδηγίας για τις δημόσιες συμβάσεις, επτά έτη στην περίπτωση της οδηγίας για την άμυνα και οκτώ έτη στην περίπτωση της τομεακής οδηγίας).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BT-111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Κατηγορίες αγοραστών σε συμφωνία-πλαίσιο</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Τυχόν πρόσθετες κατηγορίες αγοραστών που συμμετέχουν στη συμφωνία-πλαίσιο και δεν αναφέρονται ονομαστικά (π.χ. «όλα τα νοσοκομεία της περιφέρειας της Τοσκάνης»).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BT-766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Δυναμικό σύστημα αγορών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κατά πόσον εμπλέκεται δυναμικό σύστημα αγορών και, σε περίπτωση κεντρικών αρχών προμηθειών, το κατά πόσον μπορεί να χρησιμοποιηθεί από αγοραστές που δεν αναφέρονται στην παρούσα προκήρυξη.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BT-119</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Τερματισμός δυναμικού συστήματος αγορών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δυναμικό σύστημα αγορών τερματίζεται. Στο δυναμικό σύστημα αγορών δεν θα ανατεθούν περαιτέρω συμβάσεις, εκτός από αυτές που έχουν δημοσιευθεί στην παρούσα προκήρυξη. Το πεδίο αυτό μπορεί να χρησιμοποιηθεί ακόμη και αν δεν ανατεθούν συμβάσεις στην προκήρυξη ανάθεσης σύμβασης.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BT-767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Ηλεκτρονική δημοπρασία</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Χρησιμοποιείται ηλεκτρονική δημοπρασία.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BT-123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URL ηλεκτρονικής δημοπρασίας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διαδικτυακή διεύθυνση της ηλεκτρονικής δημοπρασίας.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URL</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BT-122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ηλεκτρονικής δημοπρασίας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Τυχόν πρόσθετες πληροφορίες για την ηλεκτρονική δημοπρασία.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78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BG-100</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Επικοινωνία </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Γενικές πληροφορίες σχετικά με την επικοινωνία με τον/τους αγοραστή/-</w:t>
            </w:r>
            <w:proofErr w:type="spellStart"/>
            <w:r w:rsidRPr="002A7538">
              <w:rPr>
                <w:sz w:val="16"/>
              </w:rPr>
              <w:t>ές</w:t>
            </w:r>
            <w:proofErr w:type="spellEnd"/>
            <w:r w:rsidRPr="002A7538">
              <w:rPr>
                <w:sz w:val="16"/>
              </w:rPr>
              <w:t>. Οι πληροφορίες αυτές μπορεί να διαφέρουν ανά τμήμα. Στην περίπτωση προκαταρκτικής προκήρυξης ή περιοδικής ενδεικτικής προκήρυξης που χρησιμοποιούνται μόνο για ενημέρωση, οι πληροφορίες αυτές μπορεί να διαφέρουν ανά μέρος της προκήρυξης που ενδέχεται να καταστεί αργότερα τμήμα ή αυτόνομη διαδικασία.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D74FDC" w:rsidP="00D74FDC">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BT-724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Άτυπο εργαλείο</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ηλεκτρονική επικοινωνία απαιτεί τη χρήση εργαλείων και συσκευών που δεν είναι γενικά διαθέσιμα.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BT-124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URL άτυπου εργαλείου</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Η ηλεκτρονική επικοινωνία απαιτεί τη χρήση εργαλείων και συσκευών που δεν είναι γενικά διαθέσιμα. Ο ενιαίος </w:t>
            </w:r>
            <w:proofErr w:type="spellStart"/>
            <w:r w:rsidRPr="002A7538">
              <w:rPr>
                <w:sz w:val="16"/>
              </w:rPr>
              <w:t>εντοπιστής</w:t>
            </w:r>
            <w:proofErr w:type="spellEnd"/>
            <w:r w:rsidRPr="002A7538">
              <w:rPr>
                <w:sz w:val="16"/>
              </w:rPr>
              <w:t xml:space="preserve"> πόρου (π.χ. η διαδικτυακή διεύθυνση) που παρέχει απεριόριστη και πλήρη άμεση πρόσβαση στα εν λόγω εργαλεία και συσκευές.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URL</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BT-127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Μεταγενέστερη προκήρυξη</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εκτιμώμενη ημερομηνία δημοσίευσης της προκήρυξης του διαγωνισμού στο πλαίσιο της παρούσας διαδικασίας.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BT-631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Αποστολή πρόσκλησης ενδιαφέροντος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εκτιμώμενη ημερομηνία αποστολής των προσκλήσεων επιβεβαίωσης ενδιαφέροντος.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BT-130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Αποστολή πρόσκλησης υποβολής προσφοράς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εκτιμώμενη ημερομηνία αποστολής των προσκλήσεων υποβολής προσφορών σε διαδικασίες δύο (ή περισσότερων) σταδίων.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BT-99</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προθεσμίας προσφυγής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περιγραφή των προθεσμιών για τις διαδικασίες προσφυγής.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EC4689" w:rsidRPr="002A7538" w:rsidTr="00293701">
        <w:trPr>
          <w:trHeight w:val="52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BG-101</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Έγγραφα της προμήθειας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τα έγγραφα της προμήθειας. Οι πληροφορίες αυτές μπορεί να διαφέρουν ανά τμήμα. Στην περίπτωση προκαταρκτικής προκήρυξης ή περιοδικής ενδεικτικής προκήρυξης που χρησιμοποιούνται μόνο για ενημέρωση, οι πληροφορίες αυτές μπορεί να διαφέρουν ανά μέρος της προκήρυξης που ενδέχεται να καταστεί αργότερα τμήμα ή αυτόνομη διαδικασία.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104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URL εγγράφων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Η διαδικτυακή διεύθυνση για την πρόσβαση (στο μη περιορισμένο μέρος) των εγγράφων της προμήθειας. Για όλες τις προκηρύξεις εκτός από τις προκαταρκτικές προκηρύξεις που χρησιμοποιούνται μόνο προς πληροφόρηση και για τις περιοδικές ενδεικτικές προκηρύξεις που χρησιμοποιούνται μόνο προς πληροφόρηση, η διεύθυνση πρέπει να παρέχει άμεση πρόσβαση (δηλαδή την ακριβή ιστοσελίδα με τα έγγραφα, όχι έναν γενικό </w:t>
            </w:r>
            <w:proofErr w:type="spellStart"/>
            <w:r w:rsidRPr="002A7538">
              <w:rPr>
                <w:sz w:val="16"/>
              </w:rPr>
              <w:t>ιστότοπο</w:t>
            </w:r>
            <w:proofErr w:type="spellEnd"/>
            <w:r w:rsidRPr="002A7538">
              <w:rPr>
                <w:sz w:val="16"/>
              </w:rPr>
              <w:t>), απεριόριστη (π.χ. χωρίς υποχρέωση πληρωμής ή εγγραφής) και πλήρη (δηλαδή τα έγγραφα της προμήθειας πρέπει να είναι πλήρη) και τα έγγραφα πρέπει να είναι διαθέσιμα ήδη κατά τον χρόνο δημοσίευσης της προκήρυξης.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URL</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BT-708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Επίσημη γλώσσα εγγράφων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Η/Οι γλώσσα/-ες στην/στις οποία/-ες είναι επίσημα διαθέσιμα τα έγγραφα της προμήθειας. Οι γλωσσικές αυτές εκδόσεις είναι εξίσου έγκυρες από νομική άποψη.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D74FDC"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60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BT-737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Ανεπίσημη γλώσσα εγγράφων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Η/Οι γλώσσα/-ες στην/στις οποία/-ες είναι ανεπίσημα διαθέσιμα τα έγγραφα της προμήθειας (ή μέρη αυτών). Οι εν λόγω γλωσσικές εκδοχές δεν αποτελούν επίσημη μετάφραση, αλλά παρέχονται μόνο για ενημέρωση.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0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Έγγραφα περιορισμένης πρόσβασης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πρόσβαση σε ορισμένα έγγραφα της προμήθειας είναι περιορισμένη.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BT-707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Αιτιολόγηση περιορισμένης πρόσβασης σε έγγραφα</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αιτιολόγηση για τον περιορισμό της πρόσβασης σε ορισμένα έγγραφα της προμήθειας.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BT-615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URL εγγράφων περιορισμένης πρόσβασης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διαδικτυακή διεύθυνση με πληροφορίες σχετικά με την πρόσβαση στα περιορισμένα έγγραφα (ή στο περιορισμένο τμήμα των εγγράφων) της προμήθειας.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URL</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Προθεσμία για συμπληρωματικές πληροφορίες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προθεσμία για την υποβολή αιτήματος για πρόσθετες πληροφορίες σχετικά με τη διαδικασία προμήθειας.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BG-102</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Όροι υποβολής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τους όρους υποβολής προσφορών. Οι πληροφορίες αυτές μπορεί να διαφέρουν ανά τμήμα.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Ηλεκτρονική υποβολή</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κατά πόσον οι προσφέροντες υποχρεούνται, επιτρέπεται ή δεν επιτρέπεται να υποβάλλουν προσφορές με ηλεκτρονικά μέσα.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BT-19</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Αιτιολόγηση μη ηλεκτρονικής υποβολής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αιτιολόγηση για τη μη δυνατότητα ηλεκτρονικής υποβολής προσφορών.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BT-745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μη ηλεκτρονικής υποβολής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Περιγραφή του τρόπου υποβολής των προσφορών σε μη ηλεκτρονική μορφή.</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URL υποβολής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διαδικτυακή διεύθυνση για την υποβολή των προσφορών με ηλεκτρονικά μέσα. Η διεύθυνση πρέπει να είναι όσο το δυνατόν πιο άμεση (ιδανικά μια ειδική διεύθυνση για την ηλεκτρονική υποβολή, όχι απλώς ένας γενικός δικτυακός τόπος).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URL</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BT-97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Γλώσσα υποβολής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γλώσσα στην οποία μπορούν να υποβάλλονται οι προσφορές ή οι αιτήσεις συμμετοχής.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BT-764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Υποβολή ως ηλεκτρονικός κατάλογος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κατά πόσον οι προσφέροντες υποχρεούνται, επιτρέπεται ή δεν επιτρέπεται να υποβάλλουν προσφορές (ή μέρη αυτών) ως ηλεκτρονικούς καταλόγους.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BT-744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Υποβολή με ηλεκτρονική υπογραφή</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Απαιτείται προηγμένη ή αναγνωρισμένη ηλεκτρονική υπογραφή [όπως ορίζεται στον κανονισμό (ΕΕ) αριθ. 910/2014].</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BT-63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Εναλλακτική προσφορά</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κατά πόσον οι προσφέροντες απαιτείται, επιτρέπεται ή δεν επιτρέπεται να υποβάλλουν προσφορές που ικανοποιούν τις ανάγκες του αγοραστή κατά τρόπο διαφορετικό από αυτόν που προτείνεται στα έγγραφα της προμήθειας. Περαιτέρω όροι για την υποβολή εναλλακτικών προσφορών περιλαμβάνονται στα έγγραφα της προμήθειας.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BT-769</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Πολλαπλές προσφορές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Οι προσφέροντες μπορούν να υποβάλουν περισσότερες από μία προσφορές (για ένα συγκεκριμένο τμήμα).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BT-630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Προθεσμίας παραλαβής εκδήλωσης ενδιαφέροντος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προθεσμία παραλαβής εκδηλώσεων ενδιαφέροντος.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BT-1311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Προθεσμία παραλαβής αιτήσεων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προθεσμία για την παραλαβή αιτήσεων συμμετοχής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BT-131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Προθεσμία παραλαβής προσφορών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προθεσμία για την παραλαβή προσφορών.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BT-98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Προθεσμία ισχύος προσφορών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περίοδος από την προθεσμία υποβολής προσφορών κατά την οποία οι προσφορές πρέπει να παραμείνουν σε ισχύ.</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Διάρκεια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BT-751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Απαίτηση εγγύησης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Απαιτείται εγγύηση.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78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απαίτησης εγγύησης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περιγραφή της χρηματοοικονομικής εγγύησης που απαιτείται από τον προσφέροντα κατά την υποβολή προσφοράς. Η εγγύηση μπορεί να λάβει τη μορφή, για παράδειγμα, πληρωμής προς τον αγοραστή ή εγγράφου από τράπεζα. Κατά κανόνα, η εγγύηση καταπίπτει όταν ο προσφέρων έχει μεν κερδίσει τη σύμβαση, αλλά στη συνέχεια αρνείται να την υπογράψει.</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BT-651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Αναφορά υπεργολαβίας στην προσφορά</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Οι πληροφορίες σχετικά με τις υπεργολαβίες που πρέπει να αναφέρονται στην προσφορά.</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BT-132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Ημερομηνία δημόσιας αποσφράγισης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ημερομηνία και η ώρα της δημόσιας αποσφράγισης των προσφορών.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BT-133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Τόπος δημόσιας αποσφράγισης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τόπος δημόσιας αποσφράγισης των προσφορών.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BT-134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δημόσιας αποσφράγισης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Περισσότερες πληροφορίες σχετικά με τη δημόσια αποσφράγιση των προσφορών. (Για παράδειγμα, ποιος μπορεί να συμμετέχει στην αποσφράγιση και κατά πόσον απαιτείται τυχόν έγκριση.)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3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BT-771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Πληροφορίες για εκπρόθεσμα προσφέροντες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κατά πόσον πληροφορίες σχετικά με τις προσφορές μπορούν να παρασχεθούν ακόμη και μετά τη λήξη της προθεσμίας υποβολής.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BT-772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των πληροφοριών για εκπρόθεσμα προσφέροντες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Περιγραφή των πληροφοριών σχετικά με τις προσφορές που μπορούν να παρασχεθούν ακόμη και μετά τη λήξη της προθεσμίας υποβολής.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BG-7</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Αποτέλεσμα προκήρυξης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όλα τα αποτελέσματα της διαδικασίας προμήθειας ή, εφόσον υπάρχουν, για τα επιμέρους τμήματα που αναφέρονται στην παρούσα προκήρυξη.</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B10EDE"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B10EDE"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B10EDE"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B10EDE"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BT-161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Αξία προκήρυξης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αξία όλων των συμβάσεων που ανατίθενται με την παρούσα προκήρυξη, συμπεριλαμβανομένων των δικαιωμάτων προαίρεσης και των παρατάσεων.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Αξία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BT-118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Μέγιστη αξία προκήρυξης για σύμβαση-πλαίσιο</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μέγιστη αξία που μπορεί να δαπανηθεί στο πλαίσιο της/των συμφωνίας/-ιών-πλαισίου/-ων που εξαγγέλλεται/-</w:t>
            </w:r>
            <w:proofErr w:type="spellStart"/>
            <w:r w:rsidRPr="002A7538">
              <w:rPr>
                <w:sz w:val="16"/>
              </w:rPr>
              <w:t>ονται</w:t>
            </w:r>
            <w:proofErr w:type="spellEnd"/>
            <w:r w:rsidRPr="002A7538">
              <w:rPr>
                <w:sz w:val="16"/>
              </w:rPr>
              <w:t xml:space="preserve"> στην παρούσα προκήρυξη για όλη τη διάρκειά της, σε όλα τα τμήματα, συμπεριλαμβανομένων των δικαιωμάτων προαίρεσης και των παρατάσεων.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Αξία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EC4689" w:rsidRPr="002A7538" w:rsidTr="00293701">
        <w:trPr>
          <w:trHeight w:val="763"/>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BG-556</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Μέγιστη αξία ομάδας εντός συμφωνίας-πλαισίου</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τη μέγιστη αξία που μπορεί να δαπανηθεί σε συμφωνία-πλαίσιο εντός μιας ομάδας τμημάτων. Οι πληροφορίες αυτές μπορούν να παρέχονται όταν η μέγιστη αξία μιας ομάδας τμημάτων είναι χαμηλότερη από το άθροισμα των αξιών μεμονωμένων τμημάτων (π.χ. όταν ο ίδιος προϋπολογισμός κατανέμεται σε περισσότερα τμήματα).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BT-556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τμημάτων ομάδας με τη μέγιστη αξία σε συμφωνία-πλαίσιο</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Αναγνωριστικό διαφόρων τμημάτων στο πλαίσιο της παρούσας διαδικασίας. Τα εν λόγω τμήματα αποτελούν μια ομάδα η μέγιστη αξία της οποίας είναι χαμηλότερη από το άθροισμα των μέγιστων τιμών όλων των τμημάτων μαζί (π.χ. όταν ο ίδιος προϋπολογισμός κατανέμεται σε περισσότερα τμήματα).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104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BT-156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Μέγιστη αξία ομάδας εντός συμφωνίας-πλαισίου</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μέγιστη αξία που μπορεί να δαπανηθεί σε συμφωνία-πλαίσιο εντός μιας ομάδας τμημάτων. Οι πληροφορίες αυτές μπορούν να παρέχονται όταν η μέγιστη αξία μιας ομάδας τμημάτων είναι χαμηλότερη από το άθροισμα των αξιών μεμονωμένων τμημάτων (π.χ. όταν ο ίδιος προϋπολογισμός κατανέμεται σε περισσότερα τμήματα). Ως μέγιστη αξία νοείται η αξία που καλύπτει όλες τις συμβάσεις που πρόκειται να ανατεθούν στο πλαίσιο μιας συμφωνίας-πλαισίου ή ενός δυναμικού συστήματος αγορών, για όλη τη διάρκειά τους, συμπεριλαμβανομένων των δικαιωμάτων προαίρεσης και των παρατάσεων.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Αξία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BG-137</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Αποτέλεσμα διαδικασίας τμημάτων</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το αποτέλεσμα της διαδικασίας προμήθειας. Οι πληροφορίες αυτές διαφέρουν ανά τμήμα.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BT-142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Επελέγη νικητής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Το κατά πόσον επελέγη ένας νικητής. </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BT-144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Λόγος μη ανάθεσης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λόγος για τη μη επιλογή νικητή.</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BT-709</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Μέγιστη αξία συμφωνίας-πλαισίου</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μέγιστη αξία που μπορεί να δαπανηθεί στο πλαίσιο μιας συμφωνίας-πλαισίου για όλη τη διάρκειά της, συμπεριλαμβανομένων των δικαιωμάτων προαίρεσης και των παρατάσεων.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Αξία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BG-712</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Παραληφθείσες υποβολές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τους τύπους των προσφορών ή των αιτήσεων συμμετοχής που ελήφθησαν.</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BT-759</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Αριθμός </w:t>
            </w:r>
            <w:proofErr w:type="spellStart"/>
            <w:r w:rsidRPr="002A7538">
              <w:rPr>
                <w:sz w:val="16"/>
              </w:rPr>
              <w:t>παραληφθεισών</w:t>
            </w:r>
            <w:proofErr w:type="spellEnd"/>
            <w:r w:rsidRPr="002A7538">
              <w:rPr>
                <w:sz w:val="16"/>
              </w:rPr>
              <w:t xml:space="preserve"> υποβολών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αριθμός των προσφορών ή των αιτήσεων συμμετοχής που ελήφθησαν. Οι προσφορές που περιλαμβάνουν εναλλακτικές προσφορές ή πολλαπλές προσφορές (για ένα τμήμα) από τον ίδιο οικονομικό φορέα θα πρέπει να υπολογίζονται ως μία προσφορά.</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175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BT-760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Τύπος </w:t>
            </w:r>
            <w:proofErr w:type="spellStart"/>
            <w:r w:rsidRPr="002A7538">
              <w:rPr>
                <w:sz w:val="16"/>
              </w:rPr>
              <w:t>παραληφθεισών</w:t>
            </w:r>
            <w:proofErr w:type="spellEnd"/>
            <w:r w:rsidRPr="002A7538">
              <w:rPr>
                <w:sz w:val="16"/>
              </w:rPr>
              <w:t xml:space="preserve"> υποβολών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Ο τύπος των προσφορών ή των αιτήσεων συμμετοχής που ελήφθησαν. Πρέπει να αναφέρεται ο συνολικός αριθμός των προσφορών που έχουν παραληφθεί. Όταν η προκήρυξη δεν εμπίπτει στο πεδίο εφαρμογής της οδηγίας 2009/81/ΕΚ και δεν αφορά κοινωνικές ή άλλες ειδικές υπηρεσίες, ο αριθμός των προσφορών που ελήφθησαν από πολύ μικρές, μικρές και μεσαίες επιχειρήσεις· πρέπει επίσης να αναφερθεί ο αριθμός των προσφορών που ελήφθησαν από προσφέροντες που είναι εγγεγραμμένοι σε άλλες χώρες του Ευρωπαϊκού Οικονομικού Χώρου και ο αριθμός των προσφορών που ελήφθησαν από προσφέροντες που είναι εγγεγραμμένοι σε χώρες εκτός του Ευρωπαϊκού Οικονομικού Χώρου. Κάθε προσφορά πρέπει να </w:t>
            </w:r>
            <w:proofErr w:type="spellStart"/>
            <w:r w:rsidRPr="002A7538">
              <w:rPr>
                <w:sz w:val="16"/>
              </w:rPr>
              <w:t>προσμετράται</w:t>
            </w:r>
            <w:proofErr w:type="spellEnd"/>
            <w:r w:rsidRPr="002A7538">
              <w:rPr>
                <w:sz w:val="16"/>
              </w:rPr>
              <w:t xml:space="preserve">, ανεξάρτητα από το αν είναι παραδεκτή ή απαράδεκτη. Για τις προσφορές που υποβάλλονται από ομάδα προσφερόντων (π.χ. κοινοπραξία), η προσφορά πρέπει να προσμετρηθεί στη σχετική κατηγορία (π.χ. ΜΜΕ) εάν το μεγαλύτερο μέρος της εργασίας αναμένεται να πραγματοποιηθεί από προσφέροντες που εμπίπτουν σε αυτή την κατηγορία (π.χ. είναι ΜΜΕ). </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78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BT-710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Χαμηλότερη τιμή προσφοράς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αξία της αποδεκτής προσφοράς με τη χαμηλότερη τιμή. Μια προσφορά θεωρείται παραδεκτή όταν έχει υποβληθεί από προσφέροντα ο οποίος δεν έχει αποκλειστεί και ο οποίος πληροί τα κριτήρια επιλογής, και εφόσον είναι σύμφωνη με τις τεχνικές προδιαγραφές, χωρίς να είναι αντικανονική (π.χ. παραληφθείσα με καθυστέρηση, με ασυνήθιστα χαμηλή τιμή ή κόστος) ή απαράδεκτη ή ακατάλληλη.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Αξία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78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BT-711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Υψηλότερη τιμή προσφοράς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αξία της αποδεκτής προσφοράς με την υψηλότερη τιμή. Μια προσφορά θεωρείται παραδεκτή όταν έχει υποβληθεί από προσφέροντα ο οποίος δεν έχει αποκλειστεί και ο οποίος πληροί τα κριτήρια επιλογής, και εφόσον είναι σύμφωνη με τις τεχνικές προδιαγραφές, χωρίς να είναι αντικανονική (π.χ. παραληφθείσα με καθυστέρηση, με ασυνήθιστα χαμηλή τιμή ή κόστος) ή απαράδεκτη ή ακατάλληλη.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Αξία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78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BG-320</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Επιλεγείσα προσφορά</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την επιλεγείσα προσφορά ή, σε περιπτώσεις όπως οι διαγωνισμοί μελετών, ορισμένες συμφωνίες-πλαίσια και συμπράξεις καινοτομίας, άλλα αποτελέσματα. Οι πληροφορίες αυτές διαφέρουν ανά τμήμα. Σε περιπτώσεις όπως οι διαγωνισμοί μελετών, ορισμένες συμφωνίες-πλαίσια και συμπράξεις καινοτομίας, οι πληροφορίες αυτές μπορεί επίσης να διαφέρουν ανά οργανισμό.</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BT-3201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επιλεγείσας προσφοράς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Αναγνωριστικό της επιλεγείσας προσφοράς ή, σε περιπτώσεις όπως οι διαγωνισμοί μελετών, ορισμένες συμφωνίες-πλαίσια και συμπράξεις καινοτομίας, άλλων αποτελεσμάτων. Τα στοιχεία που περιλαμβάνονται στο τμήμα της επιλεγείσας προσφοράς αφορούν την παρούσα πρόσκληση υποβολής προσφορών.</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30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BT-720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Αξία επιλεγείσας προσφοράς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αξία της επιλεγείσας προσφοράς ή άλλου αποτελέσματος· συμπεριλαμβανομένων των δικαιωμάτων προαίρεσης και των παρατάσεων. Σε περίπτωση γνωστοποίησης τροποποίησης, η αξία της τροποποίησης.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Αξία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BT-171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Κατάταξη νικητή</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θέση που έλαβε ο νικητής (δηλαδή αν ο προσφέρων κατέκτησε την πρώτη, δεύτερη, τρίτη θέση κ.λπ.) σε έναν διαγωνισμό μελετών, ορισμένες συμφωνίες-πλαίσια με πολλαπλούς επιλεγέντες (π.χ. διαδοχικού τύπου) ή μια σύμπραξη καινοτομίας.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BT-162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Έσοδα από χρήστη παραχώρησης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Τα εκτιμώμενα έσοδα που προέρχονται από τους χρήστες της σύμβασης παραχώρησης (π.χ. τέλη και πρόστιμα).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Αξία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BT-160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Έσοδα από αγοραστή σε παραχώρηση</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Τα εκτιμώμενα έσοδα που προέρχονται από τον αγοραστή που παραχώρησε τη σύμβαση παραχώρησης (π.χ. τέλη και πρόστιμα).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Αξία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BT-163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της αξίας της παραχώρησης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Περιγραφή της μεθόδου που χρησιμοποιήθηκε για τον υπολογισμό της εκτιμώμενης αξίας της σύμβασης παραχώρησης και κάθε άλλη σχετική πληροφορία σχετικά με την αξία της σύμβασης παραχώρησης.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BT-193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Εναλλακτική επιλεγείσας προσφοράς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επιλεγείσα προσφορά είναι εναλλακτική.</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BT-191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Χώρα καταγωγής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Χώρα καταγωγής του προϊόντος ή της υπηρεσίας.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BG-180</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Υπεργολαβία</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τα τμήματα της σύμβασης που ο αντισυμβαλλόμενος θα αναθέσει με υπεργολαβία σε τρίτους.</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B10EDE"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B10EDE"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B10EDE"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B10EDE"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BT-773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Υπεργολαβία</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κατά πόσον τουλάχιστον ένα μέρος της σύμβασης θα ανατεθεί με υπεργολαβία.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BT-730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Γνωστή αξία υπεργολαβίας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αγοραστής γνωρίζει τουλάχιστον την εκτιμώμενη αξία του μέρους της σύμβασης που ο αντισυμβαλλόμενος θα αναθέσει με υπεργολαβία σε τρίτους.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BT-553</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Αξία υπεργολαβίας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εκτιμώμενη αξία του μέρους της σύμβασης που ο αντισυμβαλλόμενος θα αναθέσει με υπεργολαβία σε τρίτους.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Αξία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BT-731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Γνωστό ποσοστό υπεργολαβίας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αγοραστής γνωρίζει τουλάχιστον το εκτιμώμενο ποσοστό της σύμβασης που ο ανάδοχος θα αναθέσει με υπεργολαβία σε τρίτους σε σχέση με το σύνολο της σύμβασης.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BT-555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Ποσοστό υπεργολαβίας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Το εκτιμώμενο ποσοστό της σύμβασης που ο ανάδοχος θα αναθέσει με υπεργολαβία σε τρίτους σε σχέση με το σύνολο της σύμβασης.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BT-554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της υπεργολαβίας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περιγραφή του μέρους της σύμβασης που ο αντισυμβαλλόμενος θα αναθέσει με υπεργολαβία σε τρίτους.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EC4689" w:rsidRPr="002A7538" w:rsidTr="00293701">
        <w:trPr>
          <w:trHeight w:val="81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BG-310</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Σύμβαση</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τη σύμβαση μεταξύ αγοραστή και νικητή έπειτα από επιτυχή προσφορά. Στην περίπτωση προκηρύξεων για εκούσια εκ των προτέρων διαφάνεια και γνωστοποιήσεων των αποτελεσμάτων διαγωνισμών μελετών, πληροφορίες σχετικά με την απόφαση της επιτροπής αξιολόγησης ή της κριτικής επιτροπής, αντίστοιχα. Οι πληροφορίες αυτές μπορεί να διαφέρουν ανά επιλεγείσα προσφορά.</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BT-150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σύμβασης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Αναγνωριστικό της σύμβασης ή, στην περίπτωση προκηρύξεων για εκούσια εκ των προτέρων διαφάνεια και γνωστοποιήσεων των αποτελεσμάτων διαγωνισμού μελετών, της απόφασης. Οι πληροφορίες στο τμήμα «Σύμβαση» αναφέρονται στην εν λόγω σύμβαση ή απόφαση.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BT-3202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επιλεγείσας προσφοράς σύμβασης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Αναγνωριστικό της επιλεγείσας προσφοράς ή άλλο αποτέλεσμα που οδήγησε στην παρούσα σύμβαση.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BT-721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Τίτλος σύμβασης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Ο τίτλος της σύμβασης ή, στην περίπτωση προκηρύξεων για εκούσια εκ των προτέρων διαφάνεια και γνωστοποιήσεων των αποτελεσμάτων διαγωνισμού μελετών, της απόφασης. </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BT-1451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Ημερομηνία απόφασης νικητή</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ημερομηνία της επίσημης απόφασης επιλογής του μελλοντικού αναδόχου ή νικητή.</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BT-145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Ημερομηνία ολοκλήρωσης της σύμβασης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Ημερομηνία υπογραφής της σύμβασης από το τελευταίο συμβαλλόμενο μέρος.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BT-768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Σύμβαση συμφωνίας-πλαισίου</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σύμβαση ανατίθεται στο πλαίσιο συμφωνίας-πλαισίου.</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BT-151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URL της σύμβασης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Ο </w:t>
            </w:r>
            <w:proofErr w:type="spellStart"/>
            <w:r w:rsidRPr="002A7538">
              <w:rPr>
                <w:sz w:val="16"/>
              </w:rPr>
              <w:t>εντοπιστής</w:t>
            </w:r>
            <w:proofErr w:type="spellEnd"/>
            <w:r w:rsidRPr="002A7538">
              <w:rPr>
                <w:sz w:val="16"/>
              </w:rPr>
              <w:t xml:space="preserve"> ενιαίου πόρου (π.χ. η διαδικτυακή διεύθυνση) της σύμβασης.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URL</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EC4689" w:rsidRPr="002A7538" w:rsidTr="00293701">
        <w:trPr>
          <w:trHeight w:val="52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BG-611</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Ταμεία ΕΕ που χρηματοδοτούν τη σύμβαση</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τα ταμεία της Ευρωπαϊκής Ένωσης που χρησιμοποιήθηκαν για τη χρηματοδότηση της σύμβασης. Πρέπει να παρασχεθούν όσο το δυνατόν πιο συγκεκριμένες πληροφορίες (π.χ. σχετικά με συγκεκριμένα έργα, όχι μόνο επιχειρησιακά προγράμματα.)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BT-722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Ονομασία ταμείων ΕΕ που χρηματοδοτούν τη σύμβαση</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ονομασία των ταμείων της Ευρωπαϊκής Ένωσης που χρησιμοποιούνται έστω και για τη μερική χρηματοδότηση της σύμβασης. Πρέπει να παρασχεθούν όσο το δυνατόν πιο συγκεκριμένες πληροφορίες (π.χ. σχετικά με συγκεκριμένα έργα, όχι μόνο επιχειρησιακά προγράμματα.)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BT-5011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ταμείων ΕΕ που χρηματοδοτούν τη σύμβαση</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Αναγνωριστικό των ταμείων της Ευρωπαϊκής Ένωσης που χρησιμοποιούνται έστω και για τη μερική χρηματοδότηση της σύμβασης. Πρέπει να παρασχεθούν όσο το δυνατόν πιο συγκεκριμένες πληροφορίες (π.χ. σχετικά με συγκεκριμένα έργα, όχι μόνο επιχειρησιακά προγράμματα.)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EC4689" w:rsidRPr="002A7538" w:rsidTr="00293701">
        <w:trPr>
          <w:trHeight w:val="52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BG-713</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Στρατηγικές δημόσιες συμβάσεις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τις στρατηγικές δημόσιες συμβάσεις. Οι πληροφορίες αυτές μπορεί να διαφέρουν ανά τμήμα. Στην περίπτωση προκαταρκτικής προκήρυξης ή περιοδικής ενδεικτικής προκήρυξης που χρησιμοποιούνται μόνο για ενημέρωση, οι πληροφορίες αυτές μπορεί να διαφέρουν ανά μέρος της προκήρυξης που ενδέχεται να καταστεί αργότερα τμήμα ή αυτόνομη διαδικασία.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BT-06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Στρατηγικές δημόσιες συμβάσεις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χρήση τεχνικής προδιαγραφής, κριτηρίου επιλογής, κριτηρίου ανάθεσης ή όρου εκτέλεσης της σύμβασης έχει ως στόχο τη μείωση των περιβαλλοντικών επιπτώσεων της προμήθειας, την εκπλήρωση κοινωνικών στόχων και/ή την αγορά καινοτόμου έργου, προμήθειας ή υπηρεσίας.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B014A6" w:rsidP="009D1479">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BT-777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στρατηγικών δημόσιων συμβάσεων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Περιγραφή της χρήσης τεχνικής προδιαγραφής, κριτηρίου επιλογής, κριτηρίου ανάθεσης ή όρου εκτέλεσης της σύμβασης που έχει ως στόχο τη μείωση των περιβαλλοντικών επιπτώσεων της προμήθειας, την εκπλήρωση κοινωνικών στόχων και/ή την αγορά καινοτόμου έργου, προμήθειας ή υπηρεσίας.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B014A6"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BT-774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Πράσινες δημόσιες συμβάσεις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Μια προσέγγιση για τη μείωση των περιβαλλοντικών επιπτώσεων του έργου, της προμήθειας ή της υπηρεσίας (π.χ. απαίτηση συμμόρφωσης με περιβαλλοντικό σήμα)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B014A6"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BT-775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Κοινωνικές συμβάσεις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Κοινωνικός στόχος που προωθείται από τα έργα, τις προμήθειες ή τις υπηρεσίες (π.χ. δίκαιες συνθήκες εργασίας)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B014A6"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BT-776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Καινοτόμες δημόσιες συμβάσεις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Ένδειξη ότι πρόκειται να αγοραστούν καινοτόμα έργα, αγαθά ή υπηρεσίες (π.χ. τα παρεχόμενα έργα, οι προμήθειες ή οι υπηρεσίες είναι καινοφανείς για το σύνολο της αγοράς).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B014A6"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78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BT-715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Οχήματα</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Ο αριθμός όλων των οχημάτων (ανεξάρτητα από το αν είναι καθαρά ή όχι) που εμπίπτουν στο πεδίο εφαρμογής της οδηγίας για τα καθαρά οχήματα. Αυτά τα οχήματα είτε αποτελούν αντικείμενο αγοράς, χρηματοδοτικής μίσθωσης, μίσθωσης ή μίσθωσης-πώλησης είτε έχουν χρησιμοποιηθεί συμβατικά για την παροχή αγοραζόμενης υπηρεσίας που εμπίπτει στο πεδίο εφαρμογής της οδηγίας για τα καθαρά οχήματα. </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78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BT-725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Οχήματα μηδενικών εκπομπών</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αριθμός των οχημάτων μηδενικών εκπομπών που εμπίπτουν στο πεδίο εφαρμογής της οδηγίας για τα καθαρά οχήματα. Αυτά τα οχήματα είτε αποτελούν αντικείμενο αγοράς, χρηματοδοτικής μίσθωσης, μίσθωσης ή μίσθωσης-πώλησης είτε έχουν χρησιμοποιηθεί συμβατικά για την παροχή αγοραζόμενης υπηρεσίας που εμπίπτει στο πεδίο εφαρμογής της οδηγίας για τα καθαρά οχήματα.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78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BT-716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Καθαρά οχήματα </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αριθμός των καθαρών οχημάτων που εμπίπτουν στο πεδίο εφαρμογής της οδηγίας για τα καθαρά οχήματα. Αυτά τα οχήματα είτε αποτελούν αντικείμενο αγοράς, χρηματοδοτικής μίσθωσης, μίσθωσης ή μίσθωσης-πώλησης είτε έχουν χρησιμοποιηθεί συμβατικά για την παροχή αγοραζόμενης υπηρεσίας που εμπίπτει στο πεδίο εφαρμογής της οδηγίας για τα καθαρά οχήματα.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BT-754</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Προσβασιμότητα</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χρήση στις τεχνικές προδιαγραφές κριτηρίων προσβασιμότητας για τα άτομα με αναπηρίες.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9D1479" w:rsidP="009D1479">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BT-755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Αιτιολόγηση της προσβασιμότητας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αιτιολόγηση για τη μη συμπερίληψη κριτηρίων προσβασιμότητας, ακόμη και αν η προμήθεια προορίζεται για χρήση από φυσικά πρόσωπα.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9D1479"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EC4689" w:rsidRPr="002A7538" w:rsidTr="00293701">
        <w:trPr>
          <w:trHeight w:val="52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BG-710</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Συμπληρωματικές πληροφορίες</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Οποιαδήποτε πληροφορία που δεν αναφέρεται αλλού. Οι πληροφορίες αυτές μπορεί να διαφέρουν ανά τμήμα. Στην περίπτωση προκαταρκτικής προκήρυξης ή περιοδικής ενδεικτικής προκήρυξης που χρησιμοποιούνται μόνο για ενημέρωση, οι πληροφορίες αυτές μπορεί να διαφέρουν ανά μέρος της προκήρυξης που ενδέχεται να καταστεί αργότερα τμήμα ή αυτόνομη διαδικασία.</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BT-712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Αιτήσεις προσφυγής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αριθμός των οικονομικών φορέων που επέβαλαν στον αγοραστή την άσκηση προσφυγής για οποιαδήποτε από τις αποφάσεις του (π.χ. τις τεχνικές προδιαγραφές, την απόφαση ανάθεσης), όπως ορίζεται στο άρθρο 1 παράγραφος 5 της οδηγίας 89/665/ΕΟΚ και της οδηγίας 92/13/ΕΟΚ.</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Αριθμός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BT-726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Κατάλληλη για ΜΜΕ</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αγοραστής τονίζει ότι η εν λόγω προμήθεια είναι επίσης κατάλληλη για τις μικρές και μεσαίες επιχειρήσεις (ΜΜΕ).</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BT-115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Κάλυψη από τη ΣΔΣ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σύμβαση καλύπτεται από τη συμφωνία για τις δημόσιες συμβάσεις (ΣΔΣ).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702A07" w:rsidRPr="002A7538" w:rsidTr="00293701">
        <w:trPr>
          <w:trHeight w:val="78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BT-756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Τερματισμός διαγωνισμού προκαταρκτικής προκήρυξης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προκαταρκτική προκήρυξη ή η περιοδική ενδεικτική προκήρυξη που χρησιμοποιείται ως προκήρυξη διαγωνισμού (ή συγκεκριμένου τμήματος) τερματίζεται. Εκτός από τις συμβάσεις που δημοσιεύονται στην παρούσα προκήρυξη, δεν θα ανατεθούν περαιτέρω συμβάσεις μετά από αυτή την προκαταρκτική προκήρυξη ή την περιοδική ενδεικτική προκήρυξη που χρησιμοποιείται ως προκήρυξη διαγωνισμού. Το πεδίο αυτό μπορεί να χρησιμοποιηθεί ακόμη και αν δεν ανατεθούν συμβάσεις στην προκήρυξη ανάθεσης σύμβασης.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BT-300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Συμπληρωματικές πληροφορίες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Οποιαδήποτε πληροφορία που δεν αναφέρεται αλλού.</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BG-8</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Όχι προς άμεση δημοσίευση</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τα πεδία που δεν προορίζονται για άμεση δημοσίευση. Οι πληροφορίες αυτές μπορεί να διαφέρουν ανά πεδίο.</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p>
        </w:tc>
      </w:tr>
      <w:tr w:rsidR="00702A07" w:rsidRPr="002A7538" w:rsidTr="00293701">
        <w:trPr>
          <w:trHeight w:val="84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BT-195</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αδημοσίευτου</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Αναγνωριστικό πεδίου που δεν δημοσιεύεται αμέσως. Μόνο τα πεδία που αφορούν την αξία των αποτελεσμάτων και οι ομάδες πεδίων που αφορούν την επιλεγείσα προσφορά και το αποτέλεσμα της διαδικασίας τμημάτων μπορούν να δημοσιευθούν. Στην περίπτωση της τομεακής οδηγίας, τα κριτήρια ανάθεσης, η διαδικασία προμήθειας, ορισμένες ημερομηνίες και σε ορισμένες περιπτώσεις πληροφορίες σχετικά με τη φύση και την ποσότητα της υπηρεσίας μπορούν επίσης να μην δημοσιεύονται.</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BT-197</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Κωδικός αιτιολόγησης αδημοσίευτου</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αιτιολόγηση της μη άμεσης δημοσίευσης ενός πεδίου.</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BT-196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αιτιολόγησης αδημοσίευτου</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αιτιολόγηση για τη μη άμεση δημοσίευση ενός πεδίου και για την επιλογή μεταγενέστερης ημερομηνίας κατά την οποία μπορεί να δημοσιευθεί.</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BT-198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Ημερομηνία προσβασιμότητας αδημοσίευτου</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μεταγενέστερη ημερομηνία κατά την οποία δημοσιεύεται το αρχικά αδημοσίευτο πεδίο.</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Π</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EC4689" w:rsidRPr="002A7538" w:rsidTr="00293701">
        <w:trPr>
          <w:trHeight w:val="52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BG-77</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Τροποποίηση</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τροποποιήσεις της σύμβασης (π.χ. συμπληρωματικά έργα, υπηρεσίες ή προμήθειες). Οι πληροφορίες αυτές μπορούν να διαφέρουν ανά τμήμα της προηγούμενης προκήρυξης.</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BT-1501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τροποποίησης προηγούμενου τμήματος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Αναγνωριστικό ενός ή περισσότερων τμημάτων εντός προηγούμενης προκήρυξης στο πλαίσιο της διαδικασίας. Οι πληροφορίες στο τμήμα «Τροποποίηση» αναφέρονται στο εν λόγω τμήμα ή τα τμήματα.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BT-202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τροποποίησης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Περίληψη της/των τροποποίησης/-</w:t>
            </w:r>
            <w:proofErr w:type="spellStart"/>
            <w:r w:rsidRPr="002A7538">
              <w:rPr>
                <w:sz w:val="16"/>
              </w:rPr>
              <w:t>εων</w:t>
            </w:r>
            <w:proofErr w:type="spellEnd"/>
            <w:r w:rsidRPr="002A7538">
              <w:rPr>
                <w:sz w:val="16"/>
              </w:rPr>
              <w:t xml:space="preserve"> της σύμβασης.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BT-200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Κωδικός λόγου τροποποίησης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κύριος λόγος τροποποίησης της σύμβασης.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BT-201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λόγου τροποποίησης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περιγραφή του κύριου λόγου τροποποίησης της σύμβασης.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Υ</w:t>
            </w:r>
          </w:p>
        </w:tc>
      </w:tr>
      <w:tr w:rsidR="00EC4689" w:rsidRPr="002A7538" w:rsidTr="00293701">
        <w:trPr>
          <w:trHeight w:val="260"/>
        </w:trPr>
        <w:tc>
          <w:tcPr>
            <w:tcW w:w="410" w:type="dxa"/>
            <w:tcBorders>
              <w:top w:val="nil"/>
              <w:left w:val="double" w:sz="6" w:space="0" w:color="auto"/>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BG-9</w:t>
            </w:r>
          </w:p>
        </w:tc>
        <w:tc>
          <w:tcPr>
            <w:tcW w:w="170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left"/>
              <w:rPr>
                <w:rFonts w:eastAsia="Times New Roman"/>
                <w:sz w:val="16"/>
                <w:szCs w:val="16"/>
              </w:rPr>
            </w:pPr>
            <w:r w:rsidRPr="002A7538">
              <w:rPr>
                <w:sz w:val="16"/>
              </w:rPr>
              <w:t>Αλλαγή</w:t>
            </w:r>
          </w:p>
        </w:tc>
        <w:tc>
          <w:tcPr>
            <w:tcW w:w="4025" w:type="dxa"/>
            <w:tcBorders>
              <w:top w:val="nil"/>
              <w:left w:val="nil"/>
              <w:bottom w:val="single" w:sz="4" w:space="0" w:color="auto"/>
              <w:right w:val="double" w:sz="6" w:space="0" w:color="auto"/>
            </w:tcBorders>
            <w:shd w:val="clear" w:color="auto" w:fill="D9D9D9" w:themeFill="background1" w:themeFillShade="D9"/>
            <w:vAlign w:val="center"/>
            <w:hideMark/>
          </w:tcPr>
          <w:p w:rsidR="00702A07" w:rsidRPr="002A7538" w:rsidRDefault="00702A07" w:rsidP="00702A07">
            <w:pPr>
              <w:spacing w:before="0" w:after="0"/>
              <w:jc w:val="left"/>
              <w:rPr>
                <w:rFonts w:eastAsia="Times New Roman"/>
                <w:sz w:val="16"/>
                <w:szCs w:val="16"/>
              </w:rPr>
            </w:pPr>
            <w:r w:rsidRPr="002A7538">
              <w:rPr>
                <w:sz w:val="16"/>
              </w:rPr>
              <w:t>Πληροφορίες σχετικά με αλλαγές στην προκήρυξη. Οι πληροφορίες αυτές μπορούν να διαφέρουν ανά τμήμα της προηγούμενης προκήρυξης.</w:t>
            </w:r>
          </w:p>
        </w:tc>
        <w:tc>
          <w:tcPr>
            <w:tcW w:w="66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171"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D9D9D9" w:themeFill="background1" w:themeFillShade="D9"/>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BT-13716</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αλλαγής προηγούμενου τμήματος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Αναγνωριστικό ενός ή περισσότερων τμημάτων εντός της τροποποιηθείσας προκήρυξης. Οι πληροφορίες στο τμήμα «Αλλαγή» αναφέρονται στο εν λόγω τμήμα ή τα τμήματα.</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52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BT-758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Αναγνωριστικό έκδοσης γνωστοποίησης αλλαγής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παραπομπή στην έκδοση της προηγούμενης προκήρυξης που θα πρέπει να αλλάξει. Αυτό βοηθά, για παράδειγμα, να αποφεύγονται τα σφάλματα που προκαλούνται από πολλαπλές γνωστοποιήσεις αλλαγών που αποστέλλονται σε παρόμοιο χρόνο.</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Αναγνωριστικό</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BT-141</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αλλαγής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περιγραφή των αλλαγών στην προκήρυξη σε σχέση με την αρχική προκήρυξη.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55"/>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BT-718</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Αλλαγή στα έγγραφα προμήθειας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Τα έγγραφα της προμήθειας έχουν αλλάξει.</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Δείκτης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BT-719</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Ημερομηνία αλλαγής στα έγγραφα προμήθειας</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ημερομηνία και η ώρα της αλλαγής στα έγγραφα της προμήθειας.</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Ημερομηνία</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60"/>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BT-140</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Κωδικός λόγου αλλαγής </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Ο κύριος λόγος για την αλλαγή της προκήρυξης σε σχέση με την αρχική προκήρυξη.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Κωδικός</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r w:rsidR="00702A07" w:rsidRPr="002A7538" w:rsidTr="00293701">
        <w:trPr>
          <w:trHeight w:val="255"/>
        </w:trPr>
        <w:tc>
          <w:tcPr>
            <w:tcW w:w="410" w:type="dxa"/>
            <w:tcBorders>
              <w:top w:val="nil"/>
              <w:left w:val="double" w:sz="6" w:space="0" w:color="auto"/>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w:t>
            </w:r>
          </w:p>
        </w:tc>
        <w:tc>
          <w:tcPr>
            <w:tcW w:w="703" w:type="dxa"/>
            <w:tcBorders>
              <w:top w:val="nil"/>
              <w:left w:val="double" w:sz="6" w:space="0" w:color="auto"/>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BT-762</w:t>
            </w:r>
          </w:p>
        </w:tc>
        <w:tc>
          <w:tcPr>
            <w:tcW w:w="170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left"/>
              <w:rPr>
                <w:rFonts w:eastAsia="Times New Roman"/>
                <w:sz w:val="16"/>
                <w:szCs w:val="16"/>
              </w:rPr>
            </w:pPr>
            <w:r w:rsidRPr="002A7538">
              <w:rPr>
                <w:sz w:val="16"/>
              </w:rPr>
              <w:t xml:space="preserve">    Περιγραφή λόγου αλλαγής </w:t>
            </w:r>
          </w:p>
        </w:tc>
        <w:tc>
          <w:tcPr>
            <w:tcW w:w="4025" w:type="dxa"/>
            <w:tcBorders>
              <w:top w:val="nil"/>
              <w:left w:val="nil"/>
              <w:bottom w:val="single" w:sz="4" w:space="0" w:color="auto"/>
              <w:right w:val="double" w:sz="6" w:space="0" w:color="auto"/>
            </w:tcBorders>
            <w:shd w:val="clear" w:color="auto" w:fill="auto"/>
            <w:vAlign w:val="center"/>
            <w:hideMark/>
          </w:tcPr>
          <w:p w:rsidR="00702A07" w:rsidRPr="002A7538" w:rsidRDefault="00702A07" w:rsidP="00702A07">
            <w:pPr>
              <w:spacing w:before="0" w:after="0"/>
              <w:jc w:val="left"/>
              <w:rPr>
                <w:rFonts w:eastAsia="Times New Roman"/>
                <w:sz w:val="16"/>
                <w:szCs w:val="16"/>
              </w:rPr>
            </w:pPr>
            <w:r w:rsidRPr="002A7538">
              <w:rPr>
                <w:sz w:val="16"/>
              </w:rPr>
              <w:t>Η περιγραφή του κύριου λόγου για την αλλαγή της προκήρυξης σε σχέση με την αρχική προκήρυξη.</w:t>
            </w:r>
          </w:p>
        </w:tc>
        <w:tc>
          <w:tcPr>
            <w:tcW w:w="66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Κείμενο</w:t>
            </w:r>
          </w:p>
        </w:tc>
        <w:tc>
          <w:tcPr>
            <w:tcW w:w="171"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nil"/>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single" w:sz="4" w:space="0" w:color="auto"/>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1"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05"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000000"/>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70"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188"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29" w:type="dxa"/>
            <w:tcBorders>
              <w:top w:val="nil"/>
              <w:left w:val="nil"/>
              <w:bottom w:val="single" w:sz="4" w:space="0" w:color="auto"/>
              <w:right w:val="single" w:sz="4"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c>
          <w:tcPr>
            <w:tcW w:w="253" w:type="dxa"/>
            <w:tcBorders>
              <w:top w:val="nil"/>
              <w:left w:val="nil"/>
              <w:bottom w:val="single" w:sz="4" w:space="0" w:color="auto"/>
              <w:right w:val="double" w:sz="6" w:space="0" w:color="auto"/>
            </w:tcBorders>
            <w:shd w:val="clear" w:color="auto" w:fill="auto"/>
            <w:noWrap/>
            <w:vAlign w:val="center"/>
            <w:hideMark/>
          </w:tcPr>
          <w:p w:rsidR="00702A07" w:rsidRPr="002A7538" w:rsidRDefault="00702A07" w:rsidP="00702A07">
            <w:pPr>
              <w:spacing w:before="0" w:after="0"/>
              <w:jc w:val="center"/>
              <w:rPr>
                <w:rFonts w:eastAsia="Times New Roman"/>
                <w:sz w:val="16"/>
                <w:szCs w:val="16"/>
              </w:rPr>
            </w:pPr>
            <w:r w:rsidRPr="002A7538">
              <w:rPr>
                <w:sz w:val="16"/>
              </w:rPr>
              <w:t> </w:t>
            </w:r>
          </w:p>
        </w:tc>
      </w:tr>
    </w:tbl>
    <w:p w:rsidR="00C36E0D" w:rsidRPr="002A7538" w:rsidRDefault="00C36E0D" w:rsidP="006340BB"/>
    <w:sectPr w:rsidR="00C36E0D" w:rsidRPr="002A7538" w:rsidSect="00DE3405">
      <w:headerReference w:type="default" r:id="rId24"/>
      <w:footerReference w:type="default" r:id="rId25"/>
      <w:headerReference w:type="first" r:id="rId26"/>
      <w:footerReference w:type="first" r:id="rId27"/>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248" w:rsidRDefault="00906248" w:rsidP="006340BB">
      <w:pPr>
        <w:spacing w:before="0" w:after="0"/>
      </w:pPr>
      <w:r>
        <w:separator/>
      </w:r>
    </w:p>
  </w:endnote>
  <w:endnote w:type="continuationSeparator" w:id="0">
    <w:p w:rsidR="00906248" w:rsidRDefault="00906248" w:rsidP="006340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538" w:rsidRPr="00DE3405" w:rsidRDefault="00DE3405" w:rsidP="00DE3405">
    <w:pPr>
      <w:pStyle w:val="Footer"/>
      <w:rPr>
        <w:rFonts w:ascii="Arial" w:hAnsi="Arial" w:cs="Arial"/>
        <w:b/>
        <w:sz w:val="48"/>
      </w:rPr>
    </w:pPr>
    <w:r w:rsidRPr="00DE3405">
      <w:rPr>
        <w:rFonts w:ascii="Arial" w:hAnsi="Arial" w:cs="Arial"/>
        <w:b/>
        <w:sz w:val="48"/>
      </w:rPr>
      <w:t>EL</w:t>
    </w:r>
    <w:r w:rsidRPr="00DE3405">
      <w:rPr>
        <w:rFonts w:ascii="Arial" w:hAnsi="Arial" w:cs="Arial"/>
        <w:b/>
        <w:sz w:val="48"/>
      </w:rPr>
      <w:tab/>
    </w:r>
    <w:r w:rsidRPr="00DE3405">
      <w:rPr>
        <w:rFonts w:ascii="Arial" w:hAnsi="Arial" w:cs="Arial"/>
        <w:b/>
        <w:sz w:val="48"/>
      </w:rPr>
      <w:tab/>
    </w:r>
    <w:r w:rsidRPr="00DE3405">
      <w:tab/>
    </w:r>
    <w:proofErr w:type="spellStart"/>
    <w:r w:rsidRPr="00DE3405">
      <w:rPr>
        <w:rFonts w:ascii="Arial" w:hAnsi="Arial" w:cs="Arial"/>
        <w:b/>
        <w:sz w:val="48"/>
      </w:rPr>
      <w:t>EL</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FooterLandscape"/>
      <w:rPr>
        <w:rFonts w:ascii="Arial" w:hAnsi="Arial" w:cs="Arial"/>
        <w:b/>
        <w:sz w:val="48"/>
      </w:rPr>
    </w:pPr>
    <w:r w:rsidRPr="00DE3405">
      <w:rPr>
        <w:rFonts w:ascii="Arial" w:hAnsi="Arial" w:cs="Arial"/>
        <w:b/>
        <w:sz w:val="48"/>
      </w:rPr>
      <w:t>EL</w:t>
    </w:r>
    <w:r w:rsidRPr="00DE340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E3405">
      <w:tab/>
    </w:r>
    <w:r w:rsidRPr="00DE3405">
      <w:rPr>
        <w:rFonts w:ascii="Arial" w:hAnsi="Arial" w:cs="Arial"/>
        <w:b/>
        <w:sz w:val="48"/>
      </w:rPr>
      <w:t>EL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Footer"/>
      <w:rPr>
        <w:rFonts w:ascii="Arial" w:hAnsi="Arial" w:cs="Arial"/>
        <w:b/>
        <w:sz w:val="48"/>
      </w:rPr>
    </w:pPr>
    <w:r w:rsidRPr="00DE3405">
      <w:rPr>
        <w:rFonts w:ascii="Arial" w:hAnsi="Arial" w:cs="Arial"/>
        <w:b/>
        <w:sz w:val="48"/>
      </w:rPr>
      <w:t>EL</w:t>
    </w:r>
    <w:r w:rsidRPr="00DE340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E3405">
      <w:tab/>
    </w:r>
    <w:r w:rsidRPr="00DE3405">
      <w:rPr>
        <w:rFonts w:ascii="Arial" w:hAnsi="Arial" w:cs="Arial"/>
        <w:b/>
        <w:sz w:val="48"/>
      </w:rPr>
      <w:t>EL</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FooterLandscape"/>
      <w:rPr>
        <w:rFonts w:ascii="Arial" w:hAnsi="Arial" w:cs="Arial"/>
        <w:b/>
        <w:sz w:val="48"/>
      </w:rPr>
    </w:pPr>
    <w:r w:rsidRPr="00DE3405">
      <w:rPr>
        <w:rFonts w:ascii="Arial" w:hAnsi="Arial" w:cs="Arial"/>
        <w:b/>
        <w:sz w:val="48"/>
      </w:rPr>
      <w:t>EL</w:t>
    </w:r>
    <w:r w:rsidRPr="00DE340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E3405">
      <w:tab/>
    </w:r>
    <w:r w:rsidRPr="00DE3405">
      <w:rPr>
        <w:rFonts w:ascii="Arial" w:hAnsi="Arial" w:cs="Arial"/>
        <w:b/>
        <w:sz w:val="48"/>
      </w:rPr>
      <w:t>EL</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248" w:rsidRDefault="00906248" w:rsidP="006340BB">
      <w:pPr>
        <w:spacing w:before="0" w:after="0"/>
      </w:pPr>
      <w:r>
        <w:separator/>
      </w:r>
    </w:p>
  </w:footnote>
  <w:footnote w:type="continuationSeparator" w:id="0">
    <w:p w:rsidR="00906248" w:rsidRDefault="00906248" w:rsidP="006340BB">
      <w:pPr>
        <w:spacing w:before="0" w:after="0"/>
      </w:pPr>
      <w:r>
        <w:continuationSeparator/>
      </w:r>
    </w:p>
  </w:footnote>
  <w:footnote w:id="1">
    <w:p w:rsidR="00906248" w:rsidRPr="00CA204B" w:rsidRDefault="00906248" w:rsidP="006340BB">
      <w:pPr>
        <w:pStyle w:val="FootnoteText"/>
        <w:rPr>
          <w:lang w:val="en-US"/>
        </w:rPr>
      </w:pPr>
      <w:r>
        <w:rPr>
          <w:rStyle w:val="FootnoteReference"/>
        </w:rPr>
        <w:footnoteRef/>
      </w:r>
      <w:r>
        <w:tab/>
        <w:t>EE L 3 της 6.1.2016, σ. 16-34.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405" w:rsidRPr="00DE3405" w:rsidRDefault="00DE3405" w:rsidP="00DE3405">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C34ED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17AA8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76563D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8FA92F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4F676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E6CB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40D6F8"/>
    <w:lvl w:ilvl="0">
      <w:start w:val="1"/>
      <w:numFmt w:val="decimal"/>
      <w:pStyle w:val="ListNumber"/>
      <w:lvlText w:val="%1."/>
      <w:lvlJc w:val="left"/>
      <w:pPr>
        <w:tabs>
          <w:tab w:val="num" w:pos="360"/>
        </w:tabs>
        <w:ind w:left="360" w:hanging="360"/>
      </w:pPr>
    </w:lvl>
  </w:abstractNum>
  <w:abstractNum w:abstractNumId="7">
    <w:nsid w:val="FFFFFF89"/>
    <w:multiLevelType w:val="singleLevel"/>
    <w:tmpl w:val="603AE9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7"/>
  </w:num>
  <w:num w:numId="3">
    <w:abstractNumId w:val="5"/>
  </w:num>
  <w:num w:numId="4">
    <w:abstractNumId w:val="4"/>
  </w:num>
  <w:num w:numId="5">
    <w:abstractNumId w:val="3"/>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GrammaticalErrors/>
  <w:proofState w:spelling="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1 09:43: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49"/>
    <w:docVar w:name="DQCResult_UnknownFonts" w:val="0;0"/>
    <w:docVar w:name="DQCResult_UnknownStyles" w:val="0;0"/>
    <w:docVar w:name="DQCStatus" w:val="Green"/>
    <w:docVar w:name="DQCVersion" w:val="3"/>
    <w:docVar w:name="DQCWithWarnings" w:val="0"/>
    <w:docVar w:name="LW_ACCOMPAGNANT" w:val="\u964?\u959?\u965?"/>
    <w:docVar w:name="LW_ACCOMPAGNANT.CP" w:val="\u964?\u959?\u965?"/>
    <w:docVar w:name="LW_ANNEX_NBR_FIRST" w:val="1"/>
    <w:docVar w:name="LW_ANNEX_NBR_LAST" w:val="1"/>
    <w:docVar w:name="LW_ANNEX_UNIQUE" w:val="1"/>
    <w:docVar w:name="LW_CORRIGENDUM" w:val="&lt;UNUSED&gt;"/>
    <w:docVar w:name="LW_COVERPAGE_EXISTS" w:val="True"/>
    <w:docVar w:name="LW_COVERPAGE_GUID" w:val="2C280B0D-785C-4C44-B18C-83D811716948"/>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u914?\u961?\u965?\u958?\u941?\u955?\u955?\u949?\u962?, "/>
    <w:docVar w:name="LW_EMISSION_SUFFIX" w:val=" "/>
    <w:docVar w:name="LW_ID_DOCSTRUCTURE" w:val="COM/ANNEX"/>
    <w:docVar w:name="LW_ID_DOCTYPE" w:val="SG-068"/>
    <w:docVar w:name="LW_LANGUE" w:val="EL"/>
    <w:docVar w:name="LW_LEVEL_OF_SENSITIVITY" w:val="Standard treatment"/>
    <w:docVar w:name="LW_NOM.INST" w:val="\u917?\u933?\u929?\u937?\u928?\u913?\u938?\u922?\u919? \u917?\u928?\u921?\u932?\u929?\u927?\u928?\u919?"/>
    <w:docVar w:name="LW_NOM.INST_JOINTDOC" w:val="&lt;EMPTY&gt;"/>
    <w:docVar w:name="LW_OBJETACTEPRINCIPAL" w:val="\u947?\u953?\u945? \u964?\u951?\u957? \u954?\u945?\u964?\u940?\u961?\u964?\u953?\u963?\u951? \u964?\u965?\u960?\u959?\u960?\u959?\u953?\u951?\u956?\u941?\u957?\u969?\u957? \u949?\u957?\u964?\u973?\u960?\u969?\u957? \u947?\u953?\u945? \u964?\u951? \u948?\u951?\u956?\u959?\u963?\u943?\u949?\u965?\u963?\u951? \u960?\u961?\u959?\u954?\u951?\u961?\u973?\u958?\u949?\u969?\u957? \u954?\u945?\u953? \u947?\u957?\u969?\u963?\u964?\u959?\u960?\u959?\u953?\u942?\u963?\u949?\u969?\u957? \u963?\u964?\u959?\u957? \u964?\u959?\u956?\u941?\u945? \u964?\u969?\u957? \u948?\u951?\u956?\u972?\u963?\u953?\u969?\u957? \u963?\u965?\u956?\u946?\u940?\u963?\u949?\u969?\u957? \u954?\u945?\u953? \u947?\u953?\u945? \u964?\u951?\u957? \u954?\u945?\u964?\u940?\u961?\u947?\u951?\u963?\u951? \u964?\u959?\u965? \u949?\u954?\u964?\u949?\u955?\u949?\u963?\u964?\u953?\u954?\u959?\u973? \u954?\u945?\u957?\u959?\u957?\u953?\u963?\u956?\u959?\u973? (\u917?\u917?) 2015/1986"/>
    <w:docVar w:name="LW_OBJETACTEPRINCIPAL.CP" w:val="\u947?\u953?\u945? \u964?\u951?\u957? \u954?\u945?\u964?\u940?\u961?\u964?\u953?\u963?\u951? \u964?\u965?\u960?\u959?\u960?\u959?\u953?\u951?\u956?\u941?\u957?\u969?\u957? \u949?\u957?\u964?\u973?\u960?\u969?\u957? \u947?\u953?\u945? \u964?\u951? \u948?\u951?\u956?\u959?\u963?\u943?\u949?\u965?\u963?\u951? \u960?\u961?\u959?\u954?\u951?\u961?\u973?\u958?\u949?\u969?\u957? \u954?\u945?\u953? \u947?\u957?\u969?\u963?\u964?\u959?\u960?\u959?\u953?\u942?\u963?\u949?\u969?\u957? \u963?\u964?\u959?\u957? \u964?\u959?\u956?\u941?\u945? \u964?\u969?\u957? \u948?\u951?\u956?\u972?\u963?\u953?\u969?\u957? \u963?\u965?\u956?\u946?\u940?\u963?\u949?\u969?\u957? \u954?\u945?\u953? \u947?\u953?\u945? \u964?\u951?\u957? \u954?\u945?\u964?\u940?\u961?\u947?\u951?\u963?\u951? \u964?\u959?\u965? \u949?\u954?\u964?\u949?\u955?\u949?\u963?\u964?\u953?\u954?\u959?\u973? \u954?\u945?\u957?\u959?\u957?\u953?\u963?\u956?\u959?\u973? (\u917?\u917?) 2015/1986"/>
    <w:docVar w:name="LW_PART_NBR" w:val="1"/>
    <w:docVar w:name="LW_PART_NBR_TOTAL" w:val="1"/>
    <w:docVar w:name="LW_REF.INST.NEW" w:val="&lt;EMPTY&gt;"/>
    <w:docVar w:name="LW_REF.INST.NEW_ADOPTED" w:val="draft"/>
    <w:docVar w:name="LW_REF.INST.NEW_TEXT" w:val="(2018)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928?\u913?\u929?\u913?\u929?\u932?\u919?\u924?\u913?"/>
    <w:docVar w:name="LW_TYPE.DOC.CP" w:val="\u928?\u913?\u929?\u913?\u929?\u932?\u919?\u924?\u913?"/>
    <w:docVar w:name="LW_TYPEACTEPRINCIPAL" w:val="\u949?\u954?\u964?\u949?\u955?\u949?\u963?\u964?\u953?\u954?\u959?\u973? \u954?\u945?\u957?\u959?\u957?\u953?\u963?\u956?\u959?\u973? (E\u917?) \u964?\u951?\u962? \u917?\u960?\u953?\u964?\u961?\u959?\u960?\u942?\u962?"/>
    <w:docVar w:name="LW_TYPEACTEPRINCIPAL.CP" w:val="\u949?\u954?\u964?\u949?\u955?\u949?\u963?\u964?\u953?\u954?\u959?\u973? \u954?\u945?\u957?\u959?\u957?\u953?\u963?\u956?\u959?\u973? (E\u917?) \u964?\u951?\u962? \u917?\u960?\u953?\u964?\u961?\u959?\u960?\u942?\u962?"/>
  </w:docVars>
  <w:rsids>
    <w:rsidRoot w:val="006340BB"/>
    <w:rsid w:val="000162C1"/>
    <w:rsid w:val="00062F0A"/>
    <w:rsid w:val="00084750"/>
    <w:rsid w:val="00090828"/>
    <w:rsid w:val="00093DF1"/>
    <w:rsid w:val="000F4378"/>
    <w:rsid w:val="000F5B4A"/>
    <w:rsid w:val="00125130"/>
    <w:rsid w:val="001546AF"/>
    <w:rsid w:val="00160F9B"/>
    <w:rsid w:val="00177755"/>
    <w:rsid w:val="00183E49"/>
    <w:rsid w:val="001A6A52"/>
    <w:rsid w:val="001F5266"/>
    <w:rsid w:val="00237FF1"/>
    <w:rsid w:val="002524AE"/>
    <w:rsid w:val="00270D9E"/>
    <w:rsid w:val="00293701"/>
    <w:rsid w:val="002A7538"/>
    <w:rsid w:val="002B5679"/>
    <w:rsid w:val="002B6A1C"/>
    <w:rsid w:val="002C6173"/>
    <w:rsid w:val="00314163"/>
    <w:rsid w:val="0031423D"/>
    <w:rsid w:val="00335155"/>
    <w:rsid w:val="003436CE"/>
    <w:rsid w:val="00372F42"/>
    <w:rsid w:val="003B32AE"/>
    <w:rsid w:val="003C2625"/>
    <w:rsid w:val="003C34C5"/>
    <w:rsid w:val="00411931"/>
    <w:rsid w:val="00432A15"/>
    <w:rsid w:val="004344E0"/>
    <w:rsid w:val="00444C9D"/>
    <w:rsid w:val="00466D82"/>
    <w:rsid w:val="00471AF5"/>
    <w:rsid w:val="004913AE"/>
    <w:rsid w:val="004A0FAC"/>
    <w:rsid w:val="004A3DD1"/>
    <w:rsid w:val="004C27A2"/>
    <w:rsid w:val="004F5148"/>
    <w:rsid w:val="00515275"/>
    <w:rsid w:val="00524B2A"/>
    <w:rsid w:val="00551AB2"/>
    <w:rsid w:val="00581022"/>
    <w:rsid w:val="00590A16"/>
    <w:rsid w:val="00596825"/>
    <w:rsid w:val="005A0B44"/>
    <w:rsid w:val="0060319E"/>
    <w:rsid w:val="00605DFB"/>
    <w:rsid w:val="00614BFA"/>
    <w:rsid w:val="00624BAC"/>
    <w:rsid w:val="00632FD5"/>
    <w:rsid w:val="006340BB"/>
    <w:rsid w:val="006412DA"/>
    <w:rsid w:val="00676967"/>
    <w:rsid w:val="006C5F4C"/>
    <w:rsid w:val="00702A07"/>
    <w:rsid w:val="00705842"/>
    <w:rsid w:val="007168B9"/>
    <w:rsid w:val="00716E37"/>
    <w:rsid w:val="007512B4"/>
    <w:rsid w:val="00770C85"/>
    <w:rsid w:val="00770E67"/>
    <w:rsid w:val="0077413B"/>
    <w:rsid w:val="00780467"/>
    <w:rsid w:val="00785034"/>
    <w:rsid w:val="00786E54"/>
    <w:rsid w:val="00792A39"/>
    <w:rsid w:val="007A3ECD"/>
    <w:rsid w:val="007D1A08"/>
    <w:rsid w:val="00816096"/>
    <w:rsid w:val="00816C8A"/>
    <w:rsid w:val="00841069"/>
    <w:rsid w:val="0084496A"/>
    <w:rsid w:val="008452CD"/>
    <w:rsid w:val="00851E38"/>
    <w:rsid w:val="008A0E04"/>
    <w:rsid w:val="008B7F76"/>
    <w:rsid w:val="008D0F52"/>
    <w:rsid w:val="008E1B29"/>
    <w:rsid w:val="008E7A7F"/>
    <w:rsid w:val="008F611A"/>
    <w:rsid w:val="008F7973"/>
    <w:rsid w:val="00906248"/>
    <w:rsid w:val="009131B4"/>
    <w:rsid w:val="009138DD"/>
    <w:rsid w:val="00967CDA"/>
    <w:rsid w:val="009B3FE0"/>
    <w:rsid w:val="009C1D63"/>
    <w:rsid w:val="009D1479"/>
    <w:rsid w:val="009E0ED5"/>
    <w:rsid w:val="009F528B"/>
    <w:rsid w:val="00A170A9"/>
    <w:rsid w:val="00A24692"/>
    <w:rsid w:val="00A47568"/>
    <w:rsid w:val="00A55EBA"/>
    <w:rsid w:val="00A93817"/>
    <w:rsid w:val="00AB4A7B"/>
    <w:rsid w:val="00AC5C07"/>
    <w:rsid w:val="00B014A6"/>
    <w:rsid w:val="00B10EDE"/>
    <w:rsid w:val="00B15E89"/>
    <w:rsid w:val="00B80B34"/>
    <w:rsid w:val="00B932D1"/>
    <w:rsid w:val="00BA2FD5"/>
    <w:rsid w:val="00BB7E02"/>
    <w:rsid w:val="00BD286B"/>
    <w:rsid w:val="00BD2A66"/>
    <w:rsid w:val="00BE1DEB"/>
    <w:rsid w:val="00C24E5F"/>
    <w:rsid w:val="00C312F8"/>
    <w:rsid w:val="00C36E0D"/>
    <w:rsid w:val="00C439D6"/>
    <w:rsid w:val="00C50E3E"/>
    <w:rsid w:val="00C627F5"/>
    <w:rsid w:val="00C66E7E"/>
    <w:rsid w:val="00C81142"/>
    <w:rsid w:val="00CA05AD"/>
    <w:rsid w:val="00CB02FB"/>
    <w:rsid w:val="00CE433F"/>
    <w:rsid w:val="00D6570E"/>
    <w:rsid w:val="00D74FDC"/>
    <w:rsid w:val="00D8339A"/>
    <w:rsid w:val="00DA0484"/>
    <w:rsid w:val="00DC5BA4"/>
    <w:rsid w:val="00DD0DA3"/>
    <w:rsid w:val="00DD4B21"/>
    <w:rsid w:val="00DE3405"/>
    <w:rsid w:val="00DE3511"/>
    <w:rsid w:val="00DE4D61"/>
    <w:rsid w:val="00DE7967"/>
    <w:rsid w:val="00E2576F"/>
    <w:rsid w:val="00EB2FBF"/>
    <w:rsid w:val="00EC3566"/>
    <w:rsid w:val="00EC4689"/>
    <w:rsid w:val="00EE61EC"/>
    <w:rsid w:val="00EF4249"/>
    <w:rsid w:val="00F036F2"/>
    <w:rsid w:val="00F20DEC"/>
    <w:rsid w:val="00F60752"/>
    <w:rsid w:val="00F61322"/>
    <w:rsid w:val="00F86BE6"/>
    <w:rsid w:val="00F92AA3"/>
    <w:rsid w:val="00F92E41"/>
    <w:rsid w:val="00F9759B"/>
    <w:rsid w:val="00FA2085"/>
    <w:rsid w:val="00FF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rsid w:val="00471AF5"/>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rsid w:val="006340BB"/>
    <w:pPr>
      <w:spacing w:before="360" w:after="360"/>
      <w:jc w:val="center"/>
    </w:pPr>
    <w:rPr>
      <w:b/>
    </w:rPr>
  </w:style>
  <w:style w:type="paragraph" w:customStyle="1" w:styleId="TitreobjetPagedecouverture">
    <w:name w:val="Titre objet (Page de couverture)"/>
    <w:basedOn w:val="Titreobjet"/>
    <w:next w:val="IntrtEEEPagedecouverture"/>
    <w:rsid w:val="006340BB"/>
  </w:style>
  <w:style w:type="paragraph" w:styleId="ListNumber">
    <w:name w:val="List Number"/>
    <w:basedOn w:val="Normal"/>
    <w:uiPriority w:val="99"/>
    <w:semiHidden/>
    <w:unhideWhenUsed/>
    <w:rsid w:val="006340BB"/>
    <w:pPr>
      <w:numPr>
        <w:numId w:val="1"/>
      </w:numPr>
      <w:contextualSpacing/>
    </w:pPr>
    <w:rPr>
      <w:rFonts w:eastAsia="Calibri"/>
    </w:rPr>
  </w:style>
  <w:style w:type="character" w:styleId="CommentReference">
    <w:name w:val="annotation reference"/>
    <w:uiPriority w:val="99"/>
    <w:semiHidden/>
    <w:unhideWhenUsed/>
    <w:rsid w:val="006340BB"/>
    <w:rPr>
      <w:sz w:val="16"/>
      <w:szCs w:val="16"/>
    </w:rPr>
  </w:style>
  <w:style w:type="paragraph" w:styleId="CommentText">
    <w:name w:val="annotation text"/>
    <w:basedOn w:val="Normal"/>
    <w:link w:val="CommentTextChar"/>
    <w:uiPriority w:val="99"/>
    <w:semiHidden/>
    <w:unhideWhenUsed/>
    <w:rsid w:val="006340BB"/>
    <w:rPr>
      <w:rFonts w:eastAsia="Calibri"/>
      <w:sz w:val="20"/>
      <w:szCs w:val="20"/>
    </w:rPr>
  </w:style>
  <w:style w:type="character" w:customStyle="1" w:styleId="CommentTextChar">
    <w:name w:val="Comment Text Char"/>
    <w:basedOn w:val="DefaultParagraphFont"/>
    <w:link w:val="CommentText"/>
    <w:uiPriority w:val="99"/>
    <w:semiHidden/>
    <w:rsid w:val="006340BB"/>
    <w:rPr>
      <w:rFonts w:ascii="Times New Roman" w:eastAsia="Calibri" w:hAnsi="Times New Roman" w:cs="Times New Roman"/>
      <w:sz w:val="20"/>
      <w:szCs w:val="20"/>
      <w:lang w:val="el-GR" w:eastAsia="el-GR"/>
    </w:rPr>
  </w:style>
  <w:style w:type="paragraph" w:styleId="NormalWeb">
    <w:name w:val="Normal (Web)"/>
    <w:basedOn w:val="Normal"/>
    <w:uiPriority w:val="99"/>
    <w:unhideWhenUsed/>
    <w:rsid w:val="006340BB"/>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rsid w:val="006340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0BB"/>
    <w:rPr>
      <w:rFonts w:ascii="Tahoma" w:hAnsi="Tahoma" w:cs="Tahoma"/>
      <w:sz w:val="16"/>
      <w:szCs w:val="16"/>
      <w:lang w:val="el-GR"/>
    </w:rPr>
  </w:style>
  <w:style w:type="paragraph" w:styleId="ListBullet">
    <w:name w:val="List Bullet"/>
    <w:basedOn w:val="Normal"/>
    <w:uiPriority w:val="99"/>
    <w:semiHidden/>
    <w:unhideWhenUsed/>
    <w:rsid w:val="006340BB"/>
    <w:pPr>
      <w:numPr>
        <w:numId w:val="2"/>
      </w:numPr>
      <w:contextualSpacing/>
    </w:pPr>
  </w:style>
  <w:style w:type="paragraph" w:styleId="ListBullet2">
    <w:name w:val="List Bullet 2"/>
    <w:basedOn w:val="Normal"/>
    <w:uiPriority w:val="99"/>
    <w:semiHidden/>
    <w:unhideWhenUsed/>
    <w:rsid w:val="006340BB"/>
    <w:pPr>
      <w:numPr>
        <w:numId w:val="3"/>
      </w:numPr>
      <w:contextualSpacing/>
    </w:pPr>
  </w:style>
  <w:style w:type="paragraph" w:styleId="ListBullet3">
    <w:name w:val="List Bullet 3"/>
    <w:basedOn w:val="Normal"/>
    <w:uiPriority w:val="99"/>
    <w:semiHidden/>
    <w:unhideWhenUsed/>
    <w:rsid w:val="006340BB"/>
    <w:pPr>
      <w:numPr>
        <w:numId w:val="4"/>
      </w:numPr>
      <w:contextualSpacing/>
    </w:pPr>
  </w:style>
  <w:style w:type="paragraph" w:styleId="ListBullet4">
    <w:name w:val="List Bullet 4"/>
    <w:basedOn w:val="Normal"/>
    <w:uiPriority w:val="99"/>
    <w:semiHidden/>
    <w:unhideWhenUsed/>
    <w:rsid w:val="006340BB"/>
    <w:pPr>
      <w:numPr>
        <w:numId w:val="5"/>
      </w:numPr>
      <w:contextualSpacing/>
    </w:pPr>
  </w:style>
  <w:style w:type="paragraph" w:customStyle="1" w:styleId="doc-ti">
    <w:name w:val="doc-ti"/>
    <w:basedOn w:val="Normal"/>
    <w:rsid w:val="006340BB"/>
    <w:pPr>
      <w:spacing w:before="100" w:beforeAutospacing="1" w:after="100" w:afterAutospacing="1"/>
      <w:jc w:val="left"/>
    </w:pPr>
    <w:rPr>
      <w:rFonts w:eastAsia="Times New Roman"/>
      <w:szCs w:val="24"/>
    </w:rPr>
  </w:style>
  <w:style w:type="paragraph" w:customStyle="1" w:styleId="ti-art">
    <w:name w:val="ti-art"/>
    <w:basedOn w:val="Normal"/>
    <w:rsid w:val="006340BB"/>
    <w:pPr>
      <w:spacing w:before="100" w:beforeAutospacing="1" w:after="100" w:afterAutospacing="1"/>
      <w:jc w:val="left"/>
    </w:pPr>
    <w:rPr>
      <w:rFonts w:eastAsia="Times New Roman"/>
      <w:szCs w:val="24"/>
    </w:rPr>
  </w:style>
  <w:style w:type="table" w:styleId="TableGrid">
    <w:name w:val="Table Grid"/>
    <w:basedOn w:val="TableNormal"/>
    <w:uiPriority w:val="59"/>
    <w:rsid w:val="00634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340BB"/>
    <w:rPr>
      <w:rFonts w:eastAsiaTheme="minorHAnsi"/>
      <w:b/>
      <w:bCs/>
    </w:rPr>
  </w:style>
  <w:style w:type="character" w:customStyle="1" w:styleId="CommentSubjectChar">
    <w:name w:val="Comment Subject Char"/>
    <w:basedOn w:val="CommentTextChar"/>
    <w:link w:val="CommentSubject"/>
    <w:uiPriority w:val="99"/>
    <w:semiHidden/>
    <w:rsid w:val="006340BB"/>
    <w:rPr>
      <w:rFonts w:ascii="Times New Roman" w:eastAsia="Calibri" w:hAnsi="Times New Roman" w:cs="Times New Roman"/>
      <w:b/>
      <w:bCs/>
      <w:sz w:val="20"/>
      <w:szCs w:val="20"/>
      <w:lang w:val="el-GR" w:eastAsia="el-GR"/>
    </w:rPr>
  </w:style>
  <w:style w:type="character" w:styleId="Hyperlink">
    <w:name w:val="Hyperlink"/>
    <w:basedOn w:val="DefaultParagraphFont"/>
    <w:uiPriority w:val="99"/>
    <w:unhideWhenUsed/>
    <w:rsid w:val="006340BB"/>
    <w:rPr>
      <w:color w:val="0000FF"/>
      <w:u w:val="single"/>
    </w:rPr>
  </w:style>
  <w:style w:type="character" w:styleId="FollowedHyperlink">
    <w:name w:val="FollowedHyperlink"/>
    <w:basedOn w:val="DefaultParagraphFont"/>
    <w:uiPriority w:val="99"/>
    <w:semiHidden/>
    <w:unhideWhenUsed/>
    <w:rsid w:val="006340BB"/>
    <w:rPr>
      <w:color w:val="800080"/>
      <w:u w:val="single"/>
    </w:rPr>
  </w:style>
  <w:style w:type="paragraph" w:customStyle="1" w:styleId="xl66">
    <w:name w:val="xl66"/>
    <w:basedOn w:val="Normal"/>
    <w:rsid w:val="006340BB"/>
    <w:pPr>
      <w:pBdr>
        <w:top w:val="single" w:sz="4" w:space="0" w:color="EEECE1"/>
        <w:bottom w:val="single" w:sz="4" w:space="0" w:color="EEECE1"/>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67">
    <w:name w:val="xl67"/>
    <w:basedOn w:val="Normal"/>
    <w:rsid w:val="006340BB"/>
    <w:pPr>
      <w:pBdr>
        <w:top w:val="single" w:sz="4" w:space="0" w:color="EEECE1"/>
        <w:bottom w:val="single" w:sz="4" w:space="0" w:color="EEECE1"/>
        <w:right w:val="double" w:sz="6" w:space="0" w:color="auto"/>
      </w:pBdr>
      <w:spacing w:before="100" w:beforeAutospacing="1" w:after="100" w:afterAutospacing="1"/>
      <w:jc w:val="left"/>
      <w:textAlignment w:val="center"/>
    </w:pPr>
    <w:rPr>
      <w:rFonts w:eastAsia="Times New Roman"/>
      <w:sz w:val="16"/>
      <w:szCs w:val="16"/>
    </w:rPr>
  </w:style>
  <w:style w:type="paragraph" w:customStyle="1" w:styleId="xl68">
    <w:name w:val="xl68"/>
    <w:basedOn w:val="Normal"/>
    <w:rsid w:val="006340BB"/>
    <w:pPr>
      <w:pBdr>
        <w:top w:val="single" w:sz="4" w:space="0" w:color="EEECE1"/>
        <w:left w:val="double" w:sz="6" w:space="0" w:color="auto"/>
        <w:bottom w:val="single" w:sz="4" w:space="0" w:color="EEECE1"/>
      </w:pBdr>
      <w:spacing w:before="100" w:beforeAutospacing="1" w:after="100" w:afterAutospacing="1"/>
      <w:jc w:val="center"/>
      <w:textAlignment w:val="center"/>
    </w:pPr>
    <w:rPr>
      <w:rFonts w:eastAsia="Times New Roman"/>
      <w:sz w:val="16"/>
      <w:szCs w:val="16"/>
    </w:rPr>
  </w:style>
  <w:style w:type="paragraph" w:customStyle="1" w:styleId="xl69">
    <w:name w:val="xl69"/>
    <w:basedOn w:val="Normal"/>
    <w:rsid w:val="006340BB"/>
    <w:pPr>
      <w:pBdr>
        <w:top w:val="single" w:sz="4" w:space="0" w:color="EEECE1"/>
        <w:bottom w:val="single" w:sz="4" w:space="0" w:color="EEECE1"/>
      </w:pBdr>
      <w:spacing w:before="100" w:beforeAutospacing="1" w:after="100" w:afterAutospacing="1"/>
      <w:jc w:val="center"/>
      <w:textAlignment w:val="center"/>
    </w:pPr>
    <w:rPr>
      <w:rFonts w:eastAsia="Times New Roman"/>
      <w:sz w:val="16"/>
      <w:szCs w:val="16"/>
    </w:rPr>
  </w:style>
  <w:style w:type="paragraph" w:customStyle="1" w:styleId="xl70">
    <w:name w:val="xl70"/>
    <w:basedOn w:val="Normal"/>
    <w:rsid w:val="006340BB"/>
    <w:pPr>
      <w:pBdr>
        <w:top w:val="single" w:sz="4" w:space="0" w:color="EEECE1"/>
        <w:bottom w:val="single" w:sz="4" w:space="0" w:color="EEECE1"/>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71">
    <w:name w:val="xl71"/>
    <w:basedOn w:val="Normal"/>
    <w:rsid w:val="006340BB"/>
    <w:pPr>
      <w:pBdr>
        <w:top w:val="single" w:sz="4" w:space="0" w:color="EEECE1"/>
        <w:bottom w:val="single" w:sz="4" w:space="0" w:color="EEECE1"/>
        <w:right w:val="double" w:sz="6" w:space="0" w:color="000000"/>
      </w:pBdr>
      <w:spacing w:before="100" w:beforeAutospacing="1" w:after="100" w:afterAutospacing="1"/>
      <w:jc w:val="center"/>
      <w:textAlignment w:val="center"/>
    </w:pPr>
    <w:rPr>
      <w:rFonts w:eastAsia="Times New Roman"/>
      <w:sz w:val="16"/>
      <w:szCs w:val="16"/>
    </w:rPr>
  </w:style>
  <w:style w:type="paragraph" w:customStyle="1" w:styleId="xl72">
    <w:name w:val="xl72"/>
    <w:basedOn w:val="Normal"/>
    <w:rsid w:val="006340BB"/>
    <w:pPr>
      <w:pBdr>
        <w:top w:val="single" w:sz="4" w:space="0" w:color="EEECE1"/>
        <w:left w:val="single" w:sz="4" w:space="0" w:color="auto"/>
        <w:bottom w:val="single" w:sz="4" w:space="0" w:color="EEECE1"/>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3">
    <w:name w:val="xl73"/>
    <w:basedOn w:val="Normal"/>
    <w:rsid w:val="006340BB"/>
    <w:pPr>
      <w:pBdr>
        <w:right w:val="double" w:sz="6" w:space="0" w:color="000000"/>
      </w:pBdr>
      <w:spacing w:before="100" w:beforeAutospacing="1" w:after="100" w:afterAutospacing="1"/>
      <w:jc w:val="left"/>
    </w:pPr>
    <w:rPr>
      <w:rFonts w:eastAsia="Times New Roman"/>
      <w:sz w:val="16"/>
      <w:szCs w:val="16"/>
    </w:rPr>
  </w:style>
  <w:style w:type="paragraph" w:customStyle="1" w:styleId="xl74">
    <w:name w:val="xl74"/>
    <w:basedOn w:val="Normal"/>
    <w:rsid w:val="006340BB"/>
    <w:pPr>
      <w:pBdr>
        <w:right w:val="double" w:sz="6" w:space="0" w:color="auto"/>
      </w:pBdr>
      <w:spacing w:before="100" w:beforeAutospacing="1" w:after="100" w:afterAutospacing="1"/>
      <w:jc w:val="left"/>
    </w:pPr>
    <w:rPr>
      <w:rFonts w:eastAsia="Times New Roman"/>
      <w:sz w:val="16"/>
      <w:szCs w:val="16"/>
    </w:rPr>
  </w:style>
  <w:style w:type="paragraph" w:customStyle="1" w:styleId="xl75">
    <w:name w:val="xl75"/>
    <w:basedOn w:val="Normal"/>
    <w:rsid w:val="006340BB"/>
    <w:pPr>
      <w:pBdr>
        <w:right w:val="single" w:sz="4" w:space="0" w:color="auto"/>
      </w:pBdr>
      <w:spacing w:before="100" w:beforeAutospacing="1" w:after="100" w:afterAutospacing="1"/>
      <w:jc w:val="left"/>
    </w:pPr>
    <w:rPr>
      <w:rFonts w:eastAsia="Times New Roman"/>
      <w:sz w:val="16"/>
      <w:szCs w:val="16"/>
    </w:rPr>
  </w:style>
  <w:style w:type="paragraph" w:customStyle="1" w:styleId="xl76">
    <w:name w:val="xl76"/>
    <w:basedOn w:val="Normal"/>
    <w:rsid w:val="006340BB"/>
    <w:pPr>
      <w:spacing w:before="100" w:beforeAutospacing="1" w:after="100" w:afterAutospacing="1"/>
      <w:jc w:val="left"/>
    </w:pPr>
    <w:rPr>
      <w:rFonts w:eastAsia="Times New Roman"/>
      <w:sz w:val="16"/>
      <w:szCs w:val="16"/>
    </w:rPr>
  </w:style>
  <w:style w:type="paragraph" w:customStyle="1" w:styleId="xl77">
    <w:name w:val="xl77"/>
    <w:basedOn w:val="Normal"/>
    <w:rsid w:val="006340BB"/>
    <w:pPr>
      <w:pBdr>
        <w:right w:val="double" w:sz="6" w:space="0" w:color="auto"/>
      </w:pBdr>
      <w:spacing w:before="100" w:beforeAutospacing="1" w:after="100" w:afterAutospacing="1"/>
      <w:jc w:val="left"/>
    </w:pPr>
    <w:rPr>
      <w:rFonts w:eastAsia="Times New Roman"/>
      <w:sz w:val="16"/>
      <w:szCs w:val="16"/>
    </w:rPr>
  </w:style>
  <w:style w:type="paragraph" w:customStyle="1" w:styleId="xl78">
    <w:name w:val="xl78"/>
    <w:basedOn w:val="Normal"/>
    <w:rsid w:val="006340BB"/>
    <w:pPr>
      <w:pBdr>
        <w:bottom w:val="single" w:sz="4" w:space="0" w:color="EEECE1"/>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9">
    <w:name w:val="xl79"/>
    <w:basedOn w:val="Normal"/>
    <w:rsid w:val="006340BB"/>
    <w:pPr>
      <w:pBdr>
        <w:bottom w:val="single" w:sz="4" w:space="0" w:color="EEECE1"/>
        <w:right w:val="double" w:sz="6" w:space="0" w:color="auto"/>
      </w:pBdr>
      <w:spacing w:before="100" w:beforeAutospacing="1" w:after="100" w:afterAutospacing="1"/>
      <w:jc w:val="left"/>
      <w:textAlignment w:val="center"/>
    </w:pPr>
    <w:rPr>
      <w:rFonts w:eastAsia="Times New Roman"/>
      <w:sz w:val="16"/>
      <w:szCs w:val="16"/>
    </w:rPr>
  </w:style>
  <w:style w:type="paragraph" w:customStyle="1" w:styleId="xl80">
    <w:name w:val="xl80"/>
    <w:basedOn w:val="Normal"/>
    <w:rsid w:val="006340BB"/>
    <w:pPr>
      <w:pBdr>
        <w:left w:val="double" w:sz="6" w:space="0" w:color="auto"/>
        <w:bottom w:val="single" w:sz="4" w:space="0" w:color="EEECE1"/>
      </w:pBdr>
      <w:spacing w:before="100" w:beforeAutospacing="1" w:after="100" w:afterAutospacing="1"/>
      <w:jc w:val="center"/>
      <w:textAlignment w:val="center"/>
    </w:pPr>
    <w:rPr>
      <w:rFonts w:eastAsia="Times New Roman"/>
      <w:sz w:val="16"/>
      <w:szCs w:val="16"/>
    </w:rPr>
  </w:style>
  <w:style w:type="paragraph" w:customStyle="1" w:styleId="xl81">
    <w:name w:val="xl81"/>
    <w:basedOn w:val="Normal"/>
    <w:rsid w:val="006340BB"/>
    <w:pPr>
      <w:pBdr>
        <w:bottom w:val="single" w:sz="4" w:space="0" w:color="EEECE1"/>
      </w:pBdr>
      <w:spacing w:before="100" w:beforeAutospacing="1" w:after="100" w:afterAutospacing="1"/>
      <w:jc w:val="center"/>
      <w:textAlignment w:val="center"/>
    </w:pPr>
    <w:rPr>
      <w:rFonts w:eastAsia="Times New Roman"/>
      <w:sz w:val="16"/>
      <w:szCs w:val="16"/>
    </w:rPr>
  </w:style>
  <w:style w:type="paragraph" w:customStyle="1" w:styleId="xl82">
    <w:name w:val="xl82"/>
    <w:basedOn w:val="Normal"/>
    <w:rsid w:val="006340BB"/>
    <w:pPr>
      <w:pBdr>
        <w:bottom w:val="single" w:sz="4" w:space="0" w:color="EEECE1"/>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83">
    <w:name w:val="xl83"/>
    <w:basedOn w:val="Normal"/>
    <w:rsid w:val="006340BB"/>
    <w:pPr>
      <w:pBdr>
        <w:bottom w:val="single" w:sz="4" w:space="0" w:color="EEECE1"/>
        <w:right w:val="double" w:sz="6" w:space="0" w:color="000000"/>
      </w:pBdr>
      <w:spacing w:before="100" w:beforeAutospacing="1" w:after="100" w:afterAutospacing="1"/>
      <w:jc w:val="center"/>
      <w:textAlignment w:val="center"/>
    </w:pPr>
    <w:rPr>
      <w:rFonts w:eastAsia="Times New Roman"/>
      <w:sz w:val="16"/>
      <w:szCs w:val="16"/>
    </w:rPr>
  </w:style>
  <w:style w:type="paragraph" w:customStyle="1" w:styleId="xl84">
    <w:name w:val="xl84"/>
    <w:basedOn w:val="Normal"/>
    <w:rsid w:val="006340BB"/>
    <w:pPr>
      <w:pBdr>
        <w:top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85">
    <w:name w:val="xl85"/>
    <w:basedOn w:val="Normal"/>
    <w:rsid w:val="006340BB"/>
    <w:pPr>
      <w:pBdr>
        <w:top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86">
    <w:name w:val="xl86"/>
    <w:basedOn w:val="Normal"/>
    <w:rsid w:val="006340BB"/>
    <w:pPr>
      <w:pBdr>
        <w:top w:val="double" w:sz="6" w:space="0" w:color="auto"/>
        <w:left w:val="double" w:sz="6" w:space="0" w:color="auto"/>
        <w:bottom w:val="double" w:sz="6" w:space="0" w:color="auto"/>
      </w:pBdr>
      <w:spacing w:before="100" w:beforeAutospacing="1" w:after="100" w:afterAutospacing="1"/>
      <w:jc w:val="center"/>
      <w:textAlignment w:val="center"/>
    </w:pPr>
    <w:rPr>
      <w:rFonts w:eastAsia="Times New Roman"/>
      <w:sz w:val="16"/>
      <w:szCs w:val="16"/>
    </w:rPr>
  </w:style>
  <w:style w:type="paragraph" w:customStyle="1" w:styleId="xl87">
    <w:name w:val="xl87"/>
    <w:basedOn w:val="Normal"/>
    <w:rsid w:val="006340BB"/>
    <w:pPr>
      <w:pBdr>
        <w:top w:val="double" w:sz="6" w:space="0" w:color="auto"/>
        <w:bottom w:val="double" w:sz="6" w:space="0" w:color="auto"/>
      </w:pBdr>
      <w:spacing w:before="100" w:beforeAutospacing="1" w:after="100" w:afterAutospacing="1"/>
      <w:jc w:val="center"/>
      <w:textAlignment w:val="center"/>
    </w:pPr>
    <w:rPr>
      <w:rFonts w:eastAsia="Times New Roman"/>
      <w:sz w:val="16"/>
      <w:szCs w:val="16"/>
    </w:rPr>
  </w:style>
  <w:style w:type="paragraph" w:customStyle="1" w:styleId="xl88">
    <w:name w:val="xl88"/>
    <w:basedOn w:val="Normal"/>
    <w:rsid w:val="006340BB"/>
    <w:pPr>
      <w:pBdr>
        <w:top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89">
    <w:name w:val="xl89"/>
    <w:basedOn w:val="Normal"/>
    <w:rsid w:val="006340BB"/>
    <w:pPr>
      <w:pBdr>
        <w:top w:val="double" w:sz="6" w:space="0" w:color="auto"/>
        <w:bottom w:val="double" w:sz="6" w:space="0" w:color="auto"/>
        <w:right w:val="double" w:sz="6" w:space="0" w:color="000000"/>
      </w:pBdr>
      <w:spacing w:before="100" w:beforeAutospacing="1" w:after="100" w:afterAutospacing="1"/>
      <w:jc w:val="center"/>
      <w:textAlignment w:val="center"/>
    </w:pPr>
    <w:rPr>
      <w:rFonts w:eastAsia="Times New Roman"/>
      <w:sz w:val="16"/>
      <w:szCs w:val="16"/>
    </w:rPr>
  </w:style>
  <w:style w:type="paragraph" w:customStyle="1" w:styleId="xl90">
    <w:name w:val="xl90"/>
    <w:basedOn w:val="Normal"/>
    <w:rsid w:val="006340BB"/>
    <w:pPr>
      <w:pBdr>
        <w:top w:val="double" w:sz="6" w:space="0" w:color="auto"/>
        <w:left w:val="single" w:sz="4" w:space="0" w:color="000000"/>
        <w:bottom w:val="double" w:sz="6" w:space="0" w:color="auto"/>
        <w:right w:val="single" w:sz="4" w:space="0" w:color="000000"/>
      </w:pBdr>
      <w:spacing w:before="100" w:beforeAutospacing="1" w:after="100" w:afterAutospacing="1"/>
      <w:jc w:val="center"/>
      <w:textAlignment w:val="center"/>
    </w:pPr>
    <w:rPr>
      <w:rFonts w:eastAsia="Times New Roman"/>
      <w:sz w:val="16"/>
      <w:szCs w:val="16"/>
    </w:rPr>
  </w:style>
  <w:style w:type="paragraph" w:customStyle="1" w:styleId="xl91">
    <w:name w:val="xl91"/>
    <w:basedOn w:val="Normal"/>
    <w:rsid w:val="006340BB"/>
    <w:pPr>
      <w:pBdr>
        <w:left w:val="single" w:sz="4" w:space="0" w:color="000000"/>
        <w:bottom w:val="single" w:sz="4" w:space="0" w:color="EEECE1"/>
        <w:right w:val="single" w:sz="4" w:space="0" w:color="000000"/>
      </w:pBdr>
      <w:spacing w:before="100" w:beforeAutospacing="1" w:after="100" w:afterAutospacing="1"/>
      <w:jc w:val="left"/>
      <w:textAlignment w:val="center"/>
    </w:pPr>
    <w:rPr>
      <w:rFonts w:eastAsia="Times New Roman"/>
      <w:sz w:val="16"/>
      <w:szCs w:val="16"/>
    </w:rPr>
  </w:style>
  <w:style w:type="paragraph" w:customStyle="1" w:styleId="xl92">
    <w:name w:val="xl92"/>
    <w:basedOn w:val="Normal"/>
    <w:rsid w:val="006340BB"/>
    <w:pPr>
      <w:pBdr>
        <w:top w:val="single" w:sz="4" w:space="0" w:color="EEECE1"/>
        <w:left w:val="single" w:sz="4" w:space="0" w:color="000000"/>
        <w:bottom w:val="single" w:sz="4" w:space="0" w:color="EEECE1"/>
        <w:right w:val="single" w:sz="4" w:space="0" w:color="000000"/>
      </w:pBdr>
      <w:spacing w:before="100" w:beforeAutospacing="1" w:after="100" w:afterAutospacing="1"/>
      <w:jc w:val="left"/>
      <w:textAlignment w:val="center"/>
    </w:pPr>
    <w:rPr>
      <w:rFonts w:eastAsia="Times New Roman"/>
      <w:sz w:val="16"/>
      <w:szCs w:val="16"/>
    </w:rPr>
  </w:style>
  <w:style w:type="paragraph" w:customStyle="1" w:styleId="xl93">
    <w:name w:val="xl93"/>
    <w:basedOn w:val="Normal"/>
    <w:rsid w:val="006340BB"/>
    <w:pPr>
      <w:pBdr>
        <w:left w:val="single" w:sz="4" w:space="0" w:color="000000"/>
        <w:right w:val="single" w:sz="4" w:space="0" w:color="000000"/>
      </w:pBdr>
      <w:spacing w:before="100" w:beforeAutospacing="1" w:after="100" w:afterAutospacing="1"/>
      <w:jc w:val="left"/>
    </w:pPr>
    <w:rPr>
      <w:rFonts w:eastAsia="Times New Roman"/>
      <w:sz w:val="16"/>
      <w:szCs w:val="16"/>
    </w:rPr>
  </w:style>
  <w:style w:type="paragraph" w:styleId="ListParagraph">
    <w:name w:val="List Paragraph"/>
    <w:basedOn w:val="Normal"/>
    <w:uiPriority w:val="34"/>
    <w:qFormat/>
    <w:rsid w:val="006340BB"/>
    <w:pPr>
      <w:ind w:left="720"/>
      <w:contextualSpacing/>
    </w:pPr>
  </w:style>
  <w:style w:type="paragraph" w:styleId="Caption">
    <w:name w:val="caption"/>
    <w:basedOn w:val="Normal"/>
    <w:next w:val="Normal"/>
    <w:uiPriority w:val="35"/>
    <w:unhideWhenUsed/>
    <w:qFormat/>
    <w:rsid w:val="006340BB"/>
    <w:pPr>
      <w:spacing w:before="0" w:after="200"/>
    </w:pPr>
    <w:rPr>
      <w:b/>
      <w:bCs/>
      <w:color w:val="4F81BD" w:themeColor="accent1"/>
      <w:sz w:val="18"/>
      <w:szCs w:val="18"/>
    </w:rPr>
  </w:style>
  <w:style w:type="paragraph" w:styleId="Revision">
    <w:name w:val="Revision"/>
    <w:hidden/>
    <w:uiPriority w:val="99"/>
    <w:semiHidden/>
    <w:rsid w:val="006340BB"/>
    <w:pPr>
      <w:spacing w:after="0" w:line="240" w:lineRule="auto"/>
    </w:pPr>
    <w:rPr>
      <w:rFonts w:ascii="Times New Roman" w:hAnsi="Times New Roman" w:cs="Times New Roman"/>
      <w:sz w:val="24"/>
    </w:rPr>
  </w:style>
  <w:style w:type="character" w:styleId="Emphasis">
    <w:name w:val="Emphasis"/>
    <w:basedOn w:val="DefaultParagraphFont"/>
    <w:uiPriority w:val="20"/>
    <w:qFormat/>
    <w:rsid w:val="006340BB"/>
    <w:rPr>
      <w:i/>
      <w:iCs/>
    </w:rPr>
  </w:style>
  <w:style w:type="paragraph" w:customStyle="1" w:styleId="xl94">
    <w:name w:val="xl94"/>
    <w:basedOn w:val="Normal"/>
    <w:rsid w:val="006340BB"/>
    <w:pPr>
      <w:pBdr>
        <w:bottom w:val="single" w:sz="4" w:space="0" w:color="EEECE1"/>
        <w:right w:val="double" w:sz="6" w:space="0" w:color="auto"/>
      </w:pBdr>
      <w:spacing w:before="100" w:beforeAutospacing="1" w:after="100" w:afterAutospacing="1"/>
      <w:jc w:val="left"/>
      <w:textAlignment w:val="center"/>
    </w:pPr>
    <w:rPr>
      <w:rFonts w:eastAsia="Times New Roman"/>
      <w:szCs w:val="24"/>
    </w:rPr>
  </w:style>
  <w:style w:type="paragraph" w:customStyle="1" w:styleId="xl95">
    <w:name w:val="xl95"/>
    <w:basedOn w:val="Normal"/>
    <w:rsid w:val="006340BB"/>
    <w:pPr>
      <w:pBdr>
        <w:left w:val="double" w:sz="6" w:space="0" w:color="auto"/>
        <w:bottom w:val="single" w:sz="4" w:space="0" w:color="EEECE1"/>
        <w:right w:val="double" w:sz="6" w:space="0" w:color="auto"/>
      </w:pBdr>
      <w:spacing w:before="100" w:beforeAutospacing="1" w:after="100" w:afterAutospacing="1"/>
      <w:jc w:val="center"/>
      <w:textAlignment w:val="center"/>
    </w:pPr>
    <w:rPr>
      <w:rFonts w:eastAsia="Times New Roman"/>
      <w:szCs w:val="24"/>
    </w:rPr>
  </w:style>
  <w:style w:type="paragraph" w:customStyle="1" w:styleId="xl96">
    <w:name w:val="xl96"/>
    <w:basedOn w:val="Normal"/>
    <w:rsid w:val="006340BB"/>
    <w:pPr>
      <w:pBdr>
        <w:top w:val="double" w:sz="6" w:space="0" w:color="auto"/>
        <w:left w:val="double" w:sz="6" w:space="0" w:color="auto"/>
      </w:pBdr>
      <w:spacing w:before="100" w:beforeAutospacing="1" w:after="100" w:afterAutospacing="1"/>
      <w:jc w:val="center"/>
      <w:textAlignment w:val="center"/>
    </w:pPr>
    <w:rPr>
      <w:rFonts w:eastAsia="Times New Roman"/>
      <w:szCs w:val="24"/>
    </w:rPr>
  </w:style>
  <w:style w:type="paragraph" w:customStyle="1" w:styleId="xl97">
    <w:name w:val="xl97"/>
    <w:basedOn w:val="Normal"/>
    <w:rsid w:val="006340BB"/>
    <w:pPr>
      <w:pBdr>
        <w:top w:val="double" w:sz="6" w:space="0" w:color="auto"/>
        <w:left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98">
    <w:name w:val="xl98"/>
    <w:basedOn w:val="Normal"/>
    <w:rsid w:val="006340BB"/>
    <w:pPr>
      <w:pBdr>
        <w:top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99">
    <w:name w:val="xl99"/>
    <w:basedOn w:val="Normal"/>
    <w:rsid w:val="006340BB"/>
    <w:pPr>
      <w:pBdr>
        <w:top w:val="double" w:sz="6" w:space="0" w:color="auto"/>
        <w:left w:val="double" w:sz="6" w:space="0" w:color="auto"/>
        <w:bottom w:val="double" w:sz="6" w:space="0" w:color="auto"/>
      </w:pBdr>
      <w:spacing w:before="100" w:beforeAutospacing="1" w:after="100" w:afterAutospacing="1"/>
      <w:jc w:val="center"/>
      <w:textAlignment w:val="center"/>
    </w:pPr>
    <w:rPr>
      <w:rFonts w:eastAsia="Times New Roman"/>
      <w:szCs w:val="24"/>
    </w:rPr>
  </w:style>
  <w:style w:type="paragraph" w:customStyle="1" w:styleId="xl100">
    <w:name w:val="xl100"/>
    <w:basedOn w:val="Normal"/>
    <w:rsid w:val="006340BB"/>
    <w:pPr>
      <w:pBdr>
        <w:top w:val="double" w:sz="6" w:space="0" w:color="auto"/>
        <w:bottom w:val="double" w:sz="6" w:space="0" w:color="auto"/>
      </w:pBdr>
      <w:spacing w:before="100" w:beforeAutospacing="1" w:after="100" w:afterAutospacing="1"/>
      <w:jc w:val="center"/>
      <w:textAlignment w:val="center"/>
    </w:pPr>
    <w:rPr>
      <w:rFonts w:eastAsia="Times New Roman"/>
      <w:szCs w:val="24"/>
    </w:rPr>
  </w:style>
  <w:style w:type="paragraph" w:customStyle="1" w:styleId="xl101">
    <w:name w:val="xl101"/>
    <w:basedOn w:val="Normal"/>
    <w:rsid w:val="006340BB"/>
    <w:pPr>
      <w:pBdr>
        <w:top w:val="double" w:sz="6" w:space="0" w:color="auto"/>
        <w:left w:val="single" w:sz="4" w:space="0" w:color="auto"/>
        <w:bottom w:val="double" w:sz="6" w:space="0" w:color="auto"/>
      </w:pBdr>
      <w:spacing w:before="100" w:beforeAutospacing="1" w:after="100" w:afterAutospacing="1"/>
      <w:jc w:val="center"/>
      <w:textAlignment w:val="center"/>
    </w:pPr>
    <w:rPr>
      <w:rFonts w:eastAsia="Times New Roman"/>
      <w:szCs w:val="24"/>
    </w:rPr>
  </w:style>
  <w:style w:type="paragraph" w:customStyle="1" w:styleId="xl102">
    <w:name w:val="xl102"/>
    <w:basedOn w:val="Normal"/>
    <w:rsid w:val="006340BB"/>
    <w:pPr>
      <w:pBdr>
        <w:top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103">
    <w:name w:val="xl103"/>
    <w:basedOn w:val="Normal"/>
    <w:rsid w:val="006340BB"/>
    <w:pPr>
      <w:pBdr>
        <w:left w:val="double" w:sz="6" w:space="0" w:color="auto"/>
        <w:bottom w:val="double" w:sz="6" w:space="0" w:color="auto"/>
      </w:pBdr>
      <w:spacing w:before="100" w:beforeAutospacing="1" w:after="100" w:afterAutospacing="1"/>
      <w:jc w:val="center"/>
      <w:textAlignment w:val="center"/>
    </w:pPr>
    <w:rPr>
      <w:rFonts w:eastAsia="Times New Roman"/>
      <w:szCs w:val="24"/>
    </w:rPr>
  </w:style>
  <w:style w:type="paragraph" w:customStyle="1" w:styleId="xl104">
    <w:name w:val="xl104"/>
    <w:basedOn w:val="Normal"/>
    <w:rsid w:val="006340BB"/>
    <w:pPr>
      <w:pBdr>
        <w:left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105">
    <w:name w:val="xl105"/>
    <w:basedOn w:val="Normal"/>
    <w:rsid w:val="006340BB"/>
    <w:pPr>
      <w:pBdr>
        <w:bottom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106">
    <w:name w:val="xl106"/>
    <w:basedOn w:val="Normal"/>
    <w:rsid w:val="006340BB"/>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107">
    <w:name w:val="xl107"/>
    <w:basedOn w:val="Normal"/>
    <w:rsid w:val="006340BB"/>
    <w:pPr>
      <w:pBdr>
        <w:top w:val="single" w:sz="4" w:space="0" w:color="EEECE1"/>
        <w:left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108">
    <w:name w:val="xl108"/>
    <w:basedOn w:val="Normal"/>
    <w:rsid w:val="006340BB"/>
    <w:pPr>
      <w:pBdr>
        <w:left w:val="double" w:sz="6" w:space="0" w:color="auto"/>
        <w:right w:val="single" w:sz="4" w:space="0" w:color="auto"/>
      </w:pBdr>
      <w:spacing w:before="100" w:beforeAutospacing="1" w:after="100" w:afterAutospacing="1"/>
      <w:jc w:val="left"/>
    </w:pPr>
    <w:rPr>
      <w:rFonts w:eastAsia="Times New Roman"/>
      <w:szCs w:val="24"/>
    </w:rPr>
  </w:style>
  <w:style w:type="paragraph" w:customStyle="1" w:styleId="xl109">
    <w:name w:val="xl109"/>
    <w:basedOn w:val="Normal"/>
    <w:rsid w:val="006340BB"/>
    <w:pPr>
      <w:pBdr>
        <w:top w:val="double" w:sz="6"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110">
    <w:name w:val="xl110"/>
    <w:basedOn w:val="Normal"/>
    <w:rsid w:val="006340BB"/>
    <w:pPr>
      <w:pBdr>
        <w:top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szCs w:val="24"/>
    </w:rPr>
  </w:style>
  <w:style w:type="paragraph" w:styleId="TableofFigures">
    <w:name w:val="table of figures"/>
    <w:basedOn w:val="Normal"/>
    <w:next w:val="Normal"/>
    <w:uiPriority w:val="99"/>
    <w:semiHidden/>
    <w:unhideWhenUsed/>
    <w:rsid w:val="006340BB"/>
    <w:pPr>
      <w:spacing w:after="0"/>
    </w:pPr>
  </w:style>
  <w:style w:type="paragraph" w:styleId="ListNumber2">
    <w:name w:val="List Number 2"/>
    <w:basedOn w:val="Normal"/>
    <w:uiPriority w:val="99"/>
    <w:semiHidden/>
    <w:unhideWhenUsed/>
    <w:rsid w:val="006340BB"/>
    <w:pPr>
      <w:numPr>
        <w:numId w:val="6"/>
      </w:numPr>
      <w:contextualSpacing/>
    </w:pPr>
  </w:style>
  <w:style w:type="paragraph" w:styleId="ListNumber3">
    <w:name w:val="List Number 3"/>
    <w:basedOn w:val="Normal"/>
    <w:uiPriority w:val="99"/>
    <w:semiHidden/>
    <w:unhideWhenUsed/>
    <w:rsid w:val="006340BB"/>
    <w:pPr>
      <w:numPr>
        <w:numId w:val="7"/>
      </w:numPr>
      <w:contextualSpacing/>
    </w:pPr>
  </w:style>
  <w:style w:type="paragraph" w:styleId="ListNumber4">
    <w:name w:val="List Number 4"/>
    <w:basedOn w:val="Normal"/>
    <w:uiPriority w:val="99"/>
    <w:semiHidden/>
    <w:unhideWhenUsed/>
    <w:rsid w:val="006340BB"/>
    <w:pPr>
      <w:numPr>
        <w:numId w:val="8"/>
      </w:numPr>
      <w:contextualSpacing/>
    </w:pPr>
  </w:style>
  <w:style w:type="paragraph" w:customStyle="1" w:styleId="msonormal0">
    <w:name w:val="msonormal"/>
    <w:basedOn w:val="Normal"/>
    <w:rsid w:val="0084496A"/>
    <w:pPr>
      <w:spacing w:before="100" w:beforeAutospacing="1" w:after="100" w:afterAutospacing="1"/>
      <w:jc w:val="left"/>
    </w:pPr>
    <w:rPr>
      <w:rFonts w:eastAsia="Times New Roman"/>
      <w:szCs w:val="24"/>
    </w:rPr>
  </w:style>
  <w:style w:type="paragraph" w:customStyle="1" w:styleId="xl64">
    <w:name w:val="xl64"/>
    <w:basedOn w:val="Normal"/>
    <w:rsid w:val="00785034"/>
    <w:pPr>
      <w:pBdr>
        <w:right w:val="double" w:sz="6" w:space="0" w:color="auto"/>
      </w:pBdr>
      <w:spacing w:before="100" w:beforeAutospacing="1" w:after="100" w:afterAutospacing="1"/>
      <w:jc w:val="left"/>
    </w:pPr>
    <w:rPr>
      <w:rFonts w:eastAsia="Times New Roman"/>
      <w:szCs w:val="24"/>
    </w:rPr>
  </w:style>
  <w:style w:type="paragraph" w:customStyle="1" w:styleId="xl65">
    <w:name w:val="xl65"/>
    <w:basedOn w:val="Normal"/>
    <w:rsid w:val="00785034"/>
    <w:pPr>
      <w:pBdr>
        <w:right w:val="single" w:sz="4" w:space="0" w:color="auto"/>
      </w:pBdr>
      <w:spacing w:before="100" w:beforeAutospacing="1" w:after="100" w:afterAutospacing="1"/>
      <w:jc w:val="left"/>
    </w:pPr>
    <w:rPr>
      <w:rFonts w:eastAsia="Times New Roman"/>
      <w:szCs w:val="24"/>
    </w:rPr>
  </w:style>
  <w:style w:type="paragraph" w:styleId="Header">
    <w:name w:val="header"/>
    <w:basedOn w:val="Normal"/>
    <w:link w:val="HeaderChar"/>
    <w:uiPriority w:val="99"/>
    <w:semiHidden/>
    <w:unhideWhenUsed/>
    <w:rsid w:val="00471AF5"/>
    <w:pPr>
      <w:tabs>
        <w:tab w:val="center" w:pos="4535"/>
        <w:tab w:val="right" w:pos="9071"/>
      </w:tabs>
      <w:spacing w:before="0"/>
    </w:pPr>
  </w:style>
  <w:style w:type="character" w:customStyle="1" w:styleId="HeaderChar">
    <w:name w:val="Header Char"/>
    <w:basedOn w:val="DefaultParagraphFont"/>
    <w:link w:val="Header"/>
    <w:uiPriority w:val="99"/>
    <w:semiHidden/>
    <w:rsid w:val="00471AF5"/>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471AF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471AF5"/>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471AF5"/>
    <w:pPr>
      <w:tabs>
        <w:tab w:val="center" w:pos="7285"/>
        <w:tab w:val="right" w:pos="14003"/>
      </w:tabs>
      <w:spacing w:before="0"/>
    </w:pPr>
  </w:style>
  <w:style w:type="paragraph" w:customStyle="1" w:styleId="FooterLandscape">
    <w:name w:val="FooterLandscape"/>
    <w:basedOn w:val="Normal"/>
    <w:rsid w:val="00471AF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471AF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71AF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26"/>
      </w:numPr>
    </w:pPr>
  </w:style>
  <w:style w:type="paragraph" w:customStyle="1" w:styleId="Tiret1">
    <w:name w:val="Tiret 1"/>
    <w:basedOn w:val="Point1"/>
    <w:rsid w:val="00471AF5"/>
    <w:pPr>
      <w:numPr>
        <w:numId w:val="27"/>
      </w:numPr>
    </w:pPr>
  </w:style>
  <w:style w:type="paragraph" w:customStyle="1" w:styleId="Tiret2">
    <w:name w:val="Tiret 2"/>
    <w:basedOn w:val="Point2"/>
    <w:rsid w:val="00471AF5"/>
    <w:pPr>
      <w:numPr>
        <w:numId w:val="28"/>
      </w:numPr>
    </w:pPr>
  </w:style>
  <w:style w:type="paragraph" w:customStyle="1" w:styleId="Tiret3">
    <w:name w:val="Tiret 3"/>
    <w:basedOn w:val="Point3"/>
    <w:rsid w:val="00471AF5"/>
    <w:pPr>
      <w:numPr>
        <w:numId w:val="29"/>
      </w:numPr>
    </w:pPr>
  </w:style>
  <w:style w:type="paragraph" w:customStyle="1" w:styleId="Tiret4">
    <w:name w:val="Tiret 4"/>
    <w:basedOn w:val="Point4"/>
    <w:rsid w:val="00471AF5"/>
    <w:pPr>
      <w:numPr>
        <w:numId w:val="30"/>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31"/>
      </w:numPr>
    </w:pPr>
  </w:style>
  <w:style w:type="paragraph" w:customStyle="1" w:styleId="NumPar2">
    <w:name w:val="NumPar 2"/>
    <w:basedOn w:val="Normal"/>
    <w:next w:val="Text1"/>
    <w:rsid w:val="00471AF5"/>
    <w:pPr>
      <w:numPr>
        <w:ilvl w:val="1"/>
        <w:numId w:val="31"/>
      </w:numPr>
    </w:pPr>
  </w:style>
  <w:style w:type="paragraph" w:customStyle="1" w:styleId="NumPar3">
    <w:name w:val="NumPar 3"/>
    <w:basedOn w:val="Normal"/>
    <w:next w:val="Text1"/>
    <w:rsid w:val="00471AF5"/>
    <w:pPr>
      <w:numPr>
        <w:ilvl w:val="2"/>
        <w:numId w:val="31"/>
      </w:numPr>
    </w:pPr>
  </w:style>
  <w:style w:type="paragraph" w:customStyle="1" w:styleId="NumPar4">
    <w:name w:val="NumPar 4"/>
    <w:basedOn w:val="Normal"/>
    <w:next w:val="Text1"/>
    <w:rsid w:val="00471AF5"/>
    <w:pPr>
      <w:numPr>
        <w:ilvl w:val="3"/>
        <w:numId w:val="31"/>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33"/>
      </w:numPr>
    </w:pPr>
  </w:style>
  <w:style w:type="paragraph" w:customStyle="1" w:styleId="Point1number">
    <w:name w:val="Point 1 (number)"/>
    <w:basedOn w:val="Normal"/>
    <w:rsid w:val="00471AF5"/>
    <w:pPr>
      <w:numPr>
        <w:ilvl w:val="2"/>
        <w:numId w:val="33"/>
      </w:numPr>
    </w:pPr>
  </w:style>
  <w:style w:type="paragraph" w:customStyle="1" w:styleId="Point2number">
    <w:name w:val="Point 2 (number)"/>
    <w:basedOn w:val="Normal"/>
    <w:rsid w:val="00471AF5"/>
    <w:pPr>
      <w:numPr>
        <w:ilvl w:val="4"/>
        <w:numId w:val="33"/>
      </w:numPr>
    </w:pPr>
  </w:style>
  <w:style w:type="paragraph" w:customStyle="1" w:styleId="Point3number">
    <w:name w:val="Point 3 (number)"/>
    <w:basedOn w:val="Normal"/>
    <w:rsid w:val="00471AF5"/>
    <w:pPr>
      <w:numPr>
        <w:ilvl w:val="6"/>
        <w:numId w:val="33"/>
      </w:numPr>
    </w:pPr>
  </w:style>
  <w:style w:type="paragraph" w:customStyle="1" w:styleId="Point0letter">
    <w:name w:val="Point 0 (letter)"/>
    <w:basedOn w:val="Normal"/>
    <w:rsid w:val="00471AF5"/>
    <w:pPr>
      <w:numPr>
        <w:ilvl w:val="1"/>
        <w:numId w:val="33"/>
      </w:numPr>
    </w:pPr>
  </w:style>
  <w:style w:type="paragraph" w:customStyle="1" w:styleId="Point1letter">
    <w:name w:val="Point 1 (letter)"/>
    <w:basedOn w:val="Normal"/>
    <w:rsid w:val="00471AF5"/>
    <w:pPr>
      <w:numPr>
        <w:ilvl w:val="3"/>
        <w:numId w:val="33"/>
      </w:numPr>
    </w:pPr>
  </w:style>
  <w:style w:type="paragraph" w:customStyle="1" w:styleId="Point2letter">
    <w:name w:val="Point 2 (letter)"/>
    <w:basedOn w:val="Normal"/>
    <w:rsid w:val="00471AF5"/>
    <w:pPr>
      <w:numPr>
        <w:ilvl w:val="5"/>
        <w:numId w:val="33"/>
      </w:numPr>
    </w:pPr>
  </w:style>
  <w:style w:type="paragraph" w:customStyle="1" w:styleId="Point3letter">
    <w:name w:val="Point 3 (letter)"/>
    <w:basedOn w:val="Normal"/>
    <w:rsid w:val="00471AF5"/>
    <w:pPr>
      <w:numPr>
        <w:ilvl w:val="7"/>
        <w:numId w:val="33"/>
      </w:numPr>
    </w:pPr>
  </w:style>
  <w:style w:type="paragraph" w:customStyle="1" w:styleId="Point4letter">
    <w:name w:val="Point 4 (letter)"/>
    <w:basedOn w:val="Normal"/>
    <w:rsid w:val="00471AF5"/>
    <w:pPr>
      <w:numPr>
        <w:ilvl w:val="8"/>
        <w:numId w:val="33"/>
      </w:numPr>
    </w:pPr>
  </w:style>
  <w:style w:type="paragraph" w:customStyle="1" w:styleId="Bullet0">
    <w:name w:val="Bullet 0"/>
    <w:basedOn w:val="Normal"/>
    <w:rsid w:val="00471AF5"/>
    <w:pPr>
      <w:numPr>
        <w:numId w:val="34"/>
      </w:numPr>
    </w:pPr>
  </w:style>
  <w:style w:type="paragraph" w:customStyle="1" w:styleId="Bullet1">
    <w:name w:val="Bullet 1"/>
    <w:basedOn w:val="Normal"/>
    <w:rsid w:val="00471AF5"/>
    <w:pPr>
      <w:numPr>
        <w:numId w:val="35"/>
      </w:numPr>
    </w:pPr>
  </w:style>
  <w:style w:type="paragraph" w:customStyle="1" w:styleId="Bullet2">
    <w:name w:val="Bullet 2"/>
    <w:basedOn w:val="Normal"/>
    <w:rsid w:val="00471AF5"/>
    <w:pPr>
      <w:numPr>
        <w:numId w:val="36"/>
      </w:numPr>
    </w:pPr>
  </w:style>
  <w:style w:type="paragraph" w:customStyle="1" w:styleId="Bullet3">
    <w:name w:val="Bullet 3"/>
    <w:basedOn w:val="Normal"/>
    <w:rsid w:val="00471AF5"/>
    <w:pPr>
      <w:numPr>
        <w:numId w:val="37"/>
      </w:numPr>
    </w:pPr>
  </w:style>
  <w:style w:type="paragraph" w:customStyle="1" w:styleId="Bullet4">
    <w:name w:val="Bullet 4"/>
    <w:basedOn w:val="Normal"/>
    <w:rsid w:val="00471AF5"/>
    <w:pPr>
      <w:numPr>
        <w:numId w:val="38"/>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39"/>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rsid w:val="00471AF5"/>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3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rsid w:val="006340BB"/>
    <w:pPr>
      <w:spacing w:before="360" w:after="360"/>
      <w:jc w:val="center"/>
    </w:pPr>
    <w:rPr>
      <w:b/>
    </w:rPr>
  </w:style>
  <w:style w:type="paragraph" w:customStyle="1" w:styleId="TitreobjetPagedecouverture">
    <w:name w:val="Titre objet (Page de couverture)"/>
    <w:basedOn w:val="Titreobjet"/>
    <w:next w:val="IntrtEEEPagedecouverture"/>
    <w:rsid w:val="006340BB"/>
  </w:style>
  <w:style w:type="paragraph" w:styleId="ListNumber">
    <w:name w:val="List Number"/>
    <w:basedOn w:val="Normal"/>
    <w:uiPriority w:val="99"/>
    <w:semiHidden/>
    <w:unhideWhenUsed/>
    <w:rsid w:val="006340BB"/>
    <w:pPr>
      <w:numPr>
        <w:numId w:val="1"/>
      </w:numPr>
      <w:contextualSpacing/>
    </w:pPr>
    <w:rPr>
      <w:rFonts w:eastAsia="Calibri"/>
    </w:rPr>
  </w:style>
  <w:style w:type="character" w:styleId="CommentReference">
    <w:name w:val="annotation reference"/>
    <w:uiPriority w:val="99"/>
    <w:semiHidden/>
    <w:unhideWhenUsed/>
    <w:rsid w:val="006340BB"/>
    <w:rPr>
      <w:sz w:val="16"/>
      <w:szCs w:val="16"/>
    </w:rPr>
  </w:style>
  <w:style w:type="paragraph" w:styleId="CommentText">
    <w:name w:val="annotation text"/>
    <w:basedOn w:val="Normal"/>
    <w:link w:val="CommentTextChar"/>
    <w:uiPriority w:val="99"/>
    <w:semiHidden/>
    <w:unhideWhenUsed/>
    <w:rsid w:val="006340BB"/>
    <w:rPr>
      <w:rFonts w:eastAsia="Calibri"/>
      <w:sz w:val="20"/>
      <w:szCs w:val="20"/>
    </w:rPr>
  </w:style>
  <w:style w:type="character" w:customStyle="1" w:styleId="CommentTextChar">
    <w:name w:val="Comment Text Char"/>
    <w:basedOn w:val="DefaultParagraphFont"/>
    <w:link w:val="CommentText"/>
    <w:uiPriority w:val="99"/>
    <w:semiHidden/>
    <w:rsid w:val="006340BB"/>
    <w:rPr>
      <w:rFonts w:ascii="Times New Roman" w:eastAsia="Calibri" w:hAnsi="Times New Roman" w:cs="Times New Roman"/>
      <w:sz w:val="20"/>
      <w:szCs w:val="20"/>
      <w:lang w:val="el-GR" w:eastAsia="el-GR"/>
    </w:rPr>
  </w:style>
  <w:style w:type="paragraph" w:styleId="NormalWeb">
    <w:name w:val="Normal (Web)"/>
    <w:basedOn w:val="Normal"/>
    <w:uiPriority w:val="99"/>
    <w:unhideWhenUsed/>
    <w:rsid w:val="006340BB"/>
    <w:pPr>
      <w:spacing w:before="100" w:beforeAutospacing="1" w:after="100" w:afterAutospacing="1"/>
      <w:jc w:val="left"/>
    </w:pPr>
    <w:rPr>
      <w:rFonts w:eastAsia="Times New Roman"/>
      <w:szCs w:val="24"/>
    </w:rPr>
  </w:style>
  <w:style w:type="paragraph" w:styleId="BalloonText">
    <w:name w:val="Balloon Text"/>
    <w:basedOn w:val="Normal"/>
    <w:link w:val="BalloonTextChar"/>
    <w:uiPriority w:val="99"/>
    <w:semiHidden/>
    <w:unhideWhenUsed/>
    <w:rsid w:val="006340B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0BB"/>
    <w:rPr>
      <w:rFonts w:ascii="Tahoma" w:hAnsi="Tahoma" w:cs="Tahoma"/>
      <w:sz w:val="16"/>
      <w:szCs w:val="16"/>
      <w:lang w:val="el-GR"/>
    </w:rPr>
  </w:style>
  <w:style w:type="paragraph" w:styleId="ListBullet">
    <w:name w:val="List Bullet"/>
    <w:basedOn w:val="Normal"/>
    <w:uiPriority w:val="99"/>
    <w:semiHidden/>
    <w:unhideWhenUsed/>
    <w:rsid w:val="006340BB"/>
    <w:pPr>
      <w:numPr>
        <w:numId w:val="2"/>
      </w:numPr>
      <w:contextualSpacing/>
    </w:pPr>
  </w:style>
  <w:style w:type="paragraph" w:styleId="ListBullet2">
    <w:name w:val="List Bullet 2"/>
    <w:basedOn w:val="Normal"/>
    <w:uiPriority w:val="99"/>
    <w:semiHidden/>
    <w:unhideWhenUsed/>
    <w:rsid w:val="006340BB"/>
    <w:pPr>
      <w:numPr>
        <w:numId w:val="3"/>
      </w:numPr>
      <w:contextualSpacing/>
    </w:pPr>
  </w:style>
  <w:style w:type="paragraph" w:styleId="ListBullet3">
    <w:name w:val="List Bullet 3"/>
    <w:basedOn w:val="Normal"/>
    <w:uiPriority w:val="99"/>
    <w:semiHidden/>
    <w:unhideWhenUsed/>
    <w:rsid w:val="006340BB"/>
    <w:pPr>
      <w:numPr>
        <w:numId w:val="4"/>
      </w:numPr>
      <w:contextualSpacing/>
    </w:pPr>
  </w:style>
  <w:style w:type="paragraph" w:styleId="ListBullet4">
    <w:name w:val="List Bullet 4"/>
    <w:basedOn w:val="Normal"/>
    <w:uiPriority w:val="99"/>
    <w:semiHidden/>
    <w:unhideWhenUsed/>
    <w:rsid w:val="006340BB"/>
    <w:pPr>
      <w:numPr>
        <w:numId w:val="5"/>
      </w:numPr>
      <w:contextualSpacing/>
    </w:pPr>
  </w:style>
  <w:style w:type="paragraph" w:customStyle="1" w:styleId="doc-ti">
    <w:name w:val="doc-ti"/>
    <w:basedOn w:val="Normal"/>
    <w:rsid w:val="006340BB"/>
    <w:pPr>
      <w:spacing w:before="100" w:beforeAutospacing="1" w:after="100" w:afterAutospacing="1"/>
      <w:jc w:val="left"/>
    </w:pPr>
    <w:rPr>
      <w:rFonts w:eastAsia="Times New Roman"/>
      <w:szCs w:val="24"/>
    </w:rPr>
  </w:style>
  <w:style w:type="paragraph" w:customStyle="1" w:styleId="ti-art">
    <w:name w:val="ti-art"/>
    <w:basedOn w:val="Normal"/>
    <w:rsid w:val="006340BB"/>
    <w:pPr>
      <w:spacing w:before="100" w:beforeAutospacing="1" w:after="100" w:afterAutospacing="1"/>
      <w:jc w:val="left"/>
    </w:pPr>
    <w:rPr>
      <w:rFonts w:eastAsia="Times New Roman"/>
      <w:szCs w:val="24"/>
    </w:rPr>
  </w:style>
  <w:style w:type="table" w:styleId="TableGrid">
    <w:name w:val="Table Grid"/>
    <w:basedOn w:val="TableNormal"/>
    <w:uiPriority w:val="59"/>
    <w:rsid w:val="00634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340BB"/>
    <w:rPr>
      <w:rFonts w:eastAsiaTheme="minorHAnsi"/>
      <w:b/>
      <w:bCs/>
    </w:rPr>
  </w:style>
  <w:style w:type="character" w:customStyle="1" w:styleId="CommentSubjectChar">
    <w:name w:val="Comment Subject Char"/>
    <w:basedOn w:val="CommentTextChar"/>
    <w:link w:val="CommentSubject"/>
    <w:uiPriority w:val="99"/>
    <w:semiHidden/>
    <w:rsid w:val="006340BB"/>
    <w:rPr>
      <w:rFonts w:ascii="Times New Roman" w:eastAsia="Calibri" w:hAnsi="Times New Roman" w:cs="Times New Roman"/>
      <w:b/>
      <w:bCs/>
      <w:sz w:val="20"/>
      <w:szCs w:val="20"/>
      <w:lang w:val="el-GR" w:eastAsia="el-GR"/>
    </w:rPr>
  </w:style>
  <w:style w:type="character" w:styleId="Hyperlink">
    <w:name w:val="Hyperlink"/>
    <w:basedOn w:val="DefaultParagraphFont"/>
    <w:uiPriority w:val="99"/>
    <w:unhideWhenUsed/>
    <w:rsid w:val="006340BB"/>
    <w:rPr>
      <w:color w:val="0000FF"/>
      <w:u w:val="single"/>
    </w:rPr>
  </w:style>
  <w:style w:type="character" w:styleId="FollowedHyperlink">
    <w:name w:val="FollowedHyperlink"/>
    <w:basedOn w:val="DefaultParagraphFont"/>
    <w:uiPriority w:val="99"/>
    <w:semiHidden/>
    <w:unhideWhenUsed/>
    <w:rsid w:val="006340BB"/>
    <w:rPr>
      <w:color w:val="800080"/>
      <w:u w:val="single"/>
    </w:rPr>
  </w:style>
  <w:style w:type="paragraph" w:customStyle="1" w:styleId="xl66">
    <w:name w:val="xl66"/>
    <w:basedOn w:val="Normal"/>
    <w:rsid w:val="006340BB"/>
    <w:pPr>
      <w:pBdr>
        <w:top w:val="single" w:sz="4" w:space="0" w:color="EEECE1"/>
        <w:bottom w:val="single" w:sz="4" w:space="0" w:color="EEECE1"/>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67">
    <w:name w:val="xl67"/>
    <w:basedOn w:val="Normal"/>
    <w:rsid w:val="006340BB"/>
    <w:pPr>
      <w:pBdr>
        <w:top w:val="single" w:sz="4" w:space="0" w:color="EEECE1"/>
        <w:bottom w:val="single" w:sz="4" w:space="0" w:color="EEECE1"/>
        <w:right w:val="double" w:sz="6" w:space="0" w:color="auto"/>
      </w:pBdr>
      <w:spacing w:before="100" w:beforeAutospacing="1" w:after="100" w:afterAutospacing="1"/>
      <w:jc w:val="left"/>
      <w:textAlignment w:val="center"/>
    </w:pPr>
    <w:rPr>
      <w:rFonts w:eastAsia="Times New Roman"/>
      <w:sz w:val="16"/>
      <w:szCs w:val="16"/>
    </w:rPr>
  </w:style>
  <w:style w:type="paragraph" w:customStyle="1" w:styleId="xl68">
    <w:name w:val="xl68"/>
    <w:basedOn w:val="Normal"/>
    <w:rsid w:val="006340BB"/>
    <w:pPr>
      <w:pBdr>
        <w:top w:val="single" w:sz="4" w:space="0" w:color="EEECE1"/>
        <w:left w:val="double" w:sz="6" w:space="0" w:color="auto"/>
        <w:bottom w:val="single" w:sz="4" w:space="0" w:color="EEECE1"/>
      </w:pBdr>
      <w:spacing w:before="100" w:beforeAutospacing="1" w:after="100" w:afterAutospacing="1"/>
      <w:jc w:val="center"/>
      <w:textAlignment w:val="center"/>
    </w:pPr>
    <w:rPr>
      <w:rFonts w:eastAsia="Times New Roman"/>
      <w:sz w:val="16"/>
      <w:szCs w:val="16"/>
    </w:rPr>
  </w:style>
  <w:style w:type="paragraph" w:customStyle="1" w:styleId="xl69">
    <w:name w:val="xl69"/>
    <w:basedOn w:val="Normal"/>
    <w:rsid w:val="006340BB"/>
    <w:pPr>
      <w:pBdr>
        <w:top w:val="single" w:sz="4" w:space="0" w:color="EEECE1"/>
        <w:bottom w:val="single" w:sz="4" w:space="0" w:color="EEECE1"/>
      </w:pBdr>
      <w:spacing w:before="100" w:beforeAutospacing="1" w:after="100" w:afterAutospacing="1"/>
      <w:jc w:val="center"/>
      <w:textAlignment w:val="center"/>
    </w:pPr>
    <w:rPr>
      <w:rFonts w:eastAsia="Times New Roman"/>
      <w:sz w:val="16"/>
      <w:szCs w:val="16"/>
    </w:rPr>
  </w:style>
  <w:style w:type="paragraph" w:customStyle="1" w:styleId="xl70">
    <w:name w:val="xl70"/>
    <w:basedOn w:val="Normal"/>
    <w:rsid w:val="006340BB"/>
    <w:pPr>
      <w:pBdr>
        <w:top w:val="single" w:sz="4" w:space="0" w:color="EEECE1"/>
        <w:bottom w:val="single" w:sz="4" w:space="0" w:color="EEECE1"/>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71">
    <w:name w:val="xl71"/>
    <w:basedOn w:val="Normal"/>
    <w:rsid w:val="006340BB"/>
    <w:pPr>
      <w:pBdr>
        <w:top w:val="single" w:sz="4" w:space="0" w:color="EEECE1"/>
        <w:bottom w:val="single" w:sz="4" w:space="0" w:color="EEECE1"/>
        <w:right w:val="double" w:sz="6" w:space="0" w:color="000000"/>
      </w:pBdr>
      <w:spacing w:before="100" w:beforeAutospacing="1" w:after="100" w:afterAutospacing="1"/>
      <w:jc w:val="center"/>
      <w:textAlignment w:val="center"/>
    </w:pPr>
    <w:rPr>
      <w:rFonts w:eastAsia="Times New Roman"/>
      <w:sz w:val="16"/>
      <w:szCs w:val="16"/>
    </w:rPr>
  </w:style>
  <w:style w:type="paragraph" w:customStyle="1" w:styleId="xl72">
    <w:name w:val="xl72"/>
    <w:basedOn w:val="Normal"/>
    <w:rsid w:val="006340BB"/>
    <w:pPr>
      <w:pBdr>
        <w:top w:val="single" w:sz="4" w:space="0" w:color="EEECE1"/>
        <w:left w:val="single" w:sz="4" w:space="0" w:color="auto"/>
        <w:bottom w:val="single" w:sz="4" w:space="0" w:color="EEECE1"/>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3">
    <w:name w:val="xl73"/>
    <w:basedOn w:val="Normal"/>
    <w:rsid w:val="006340BB"/>
    <w:pPr>
      <w:pBdr>
        <w:right w:val="double" w:sz="6" w:space="0" w:color="000000"/>
      </w:pBdr>
      <w:spacing w:before="100" w:beforeAutospacing="1" w:after="100" w:afterAutospacing="1"/>
      <w:jc w:val="left"/>
    </w:pPr>
    <w:rPr>
      <w:rFonts w:eastAsia="Times New Roman"/>
      <w:sz w:val="16"/>
      <w:szCs w:val="16"/>
    </w:rPr>
  </w:style>
  <w:style w:type="paragraph" w:customStyle="1" w:styleId="xl74">
    <w:name w:val="xl74"/>
    <w:basedOn w:val="Normal"/>
    <w:rsid w:val="006340BB"/>
    <w:pPr>
      <w:pBdr>
        <w:right w:val="double" w:sz="6" w:space="0" w:color="auto"/>
      </w:pBdr>
      <w:spacing w:before="100" w:beforeAutospacing="1" w:after="100" w:afterAutospacing="1"/>
      <w:jc w:val="left"/>
    </w:pPr>
    <w:rPr>
      <w:rFonts w:eastAsia="Times New Roman"/>
      <w:sz w:val="16"/>
      <w:szCs w:val="16"/>
    </w:rPr>
  </w:style>
  <w:style w:type="paragraph" w:customStyle="1" w:styleId="xl75">
    <w:name w:val="xl75"/>
    <w:basedOn w:val="Normal"/>
    <w:rsid w:val="006340BB"/>
    <w:pPr>
      <w:pBdr>
        <w:right w:val="single" w:sz="4" w:space="0" w:color="auto"/>
      </w:pBdr>
      <w:spacing w:before="100" w:beforeAutospacing="1" w:after="100" w:afterAutospacing="1"/>
      <w:jc w:val="left"/>
    </w:pPr>
    <w:rPr>
      <w:rFonts w:eastAsia="Times New Roman"/>
      <w:sz w:val="16"/>
      <w:szCs w:val="16"/>
    </w:rPr>
  </w:style>
  <w:style w:type="paragraph" w:customStyle="1" w:styleId="xl76">
    <w:name w:val="xl76"/>
    <w:basedOn w:val="Normal"/>
    <w:rsid w:val="006340BB"/>
    <w:pPr>
      <w:spacing w:before="100" w:beforeAutospacing="1" w:after="100" w:afterAutospacing="1"/>
      <w:jc w:val="left"/>
    </w:pPr>
    <w:rPr>
      <w:rFonts w:eastAsia="Times New Roman"/>
      <w:sz w:val="16"/>
      <w:szCs w:val="16"/>
    </w:rPr>
  </w:style>
  <w:style w:type="paragraph" w:customStyle="1" w:styleId="xl77">
    <w:name w:val="xl77"/>
    <w:basedOn w:val="Normal"/>
    <w:rsid w:val="006340BB"/>
    <w:pPr>
      <w:pBdr>
        <w:right w:val="double" w:sz="6" w:space="0" w:color="auto"/>
      </w:pBdr>
      <w:spacing w:before="100" w:beforeAutospacing="1" w:after="100" w:afterAutospacing="1"/>
      <w:jc w:val="left"/>
    </w:pPr>
    <w:rPr>
      <w:rFonts w:eastAsia="Times New Roman"/>
      <w:sz w:val="16"/>
      <w:szCs w:val="16"/>
    </w:rPr>
  </w:style>
  <w:style w:type="paragraph" w:customStyle="1" w:styleId="xl78">
    <w:name w:val="xl78"/>
    <w:basedOn w:val="Normal"/>
    <w:rsid w:val="006340BB"/>
    <w:pPr>
      <w:pBdr>
        <w:bottom w:val="single" w:sz="4" w:space="0" w:color="EEECE1"/>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9">
    <w:name w:val="xl79"/>
    <w:basedOn w:val="Normal"/>
    <w:rsid w:val="006340BB"/>
    <w:pPr>
      <w:pBdr>
        <w:bottom w:val="single" w:sz="4" w:space="0" w:color="EEECE1"/>
        <w:right w:val="double" w:sz="6" w:space="0" w:color="auto"/>
      </w:pBdr>
      <w:spacing w:before="100" w:beforeAutospacing="1" w:after="100" w:afterAutospacing="1"/>
      <w:jc w:val="left"/>
      <w:textAlignment w:val="center"/>
    </w:pPr>
    <w:rPr>
      <w:rFonts w:eastAsia="Times New Roman"/>
      <w:sz w:val="16"/>
      <w:szCs w:val="16"/>
    </w:rPr>
  </w:style>
  <w:style w:type="paragraph" w:customStyle="1" w:styleId="xl80">
    <w:name w:val="xl80"/>
    <w:basedOn w:val="Normal"/>
    <w:rsid w:val="006340BB"/>
    <w:pPr>
      <w:pBdr>
        <w:left w:val="double" w:sz="6" w:space="0" w:color="auto"/>
        <w:bottom w:val="single" w:sz="4" w:space="0" w:color="EEECE1"/>
      </w:pBdr>
      <w:spacing w:before="100" w:beforeAutospacing="1" w:after="100" w:afterAutospacing="1"/>
      <w:jc w:val="center"/>
      <w:textAlignment w:val="center"/>
    </w:pPr>
    <w:rPr>
      <w:rFonts w:eastAsia="Times New Roman"/>
      <w:sz w:val="16"/>
      <w:szCs w:val="16"/>
    </w:rPr>
  </w:style>
  <w:style w:type="paragraph" w:customStyle="1" w:styleId="xl81">
    <w:name w:val="xl81"/>
    <w:basedOn w:val="Normal"/>
    <w:rsid w:val="006340BB"/>
    <w:pPr>
      <w:pBdr>
        <w:bottom w:val="single" w:sz="4" w:space="0" w:color="EEECE1"/>
      </w:pBdr>
      <w:spacing w:before="100" w:beforeAutospacing="1" w:after="100" w:afterAutospacing="1"/>
      <w:jc w:val="center"/>
      <w:textAlignment w:val="center"/>
    </w:pPr>
    <w:rPr>
      <w:rFonts w:eastAsia="Times New Roman"/>
      <w:sz w:val="16"/>
      <w:szCs w:val="16"/>
    </w:rPr>
  </w:style>
  <w:style w:type="paragraph" w:customStyle="1" w:styleId="xl82">
    <w:name w:val="xl82"/>
    <w:basedOn w:val="Normal"/>
    <w:rsid w:val="006340BB"/>
    <w:pPr>
      <w:pBdr>
        <w:bottom w:val="single" w:sz="4" w:space="0" w:color="EEECE1"/>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83">
    <w:name w:val="xl83"/>
    <w:basedOn w:val="Normal"/>
    <w:rsid w:val="006340BB"/>
    <w:pPr>
      <w:pBdr>
        <w:bottom w:val="single" w:sz="4" w:space="0" w:color="EEECE1"/>
        <w:right w:val="double" w:sz="6" w:space="0" w:color="000000"/>
      </w:pBdr>
      <w:spacing w:before="100" w:beforeAutospacing="1" w:after="100" w:afterAutospacing="1"/>
      <w:jc w:val="center"/>
      <w:textAlignment w:val="center"/>
    </w:pPr>
    <w:rPr>
      <w:rFonts w:eastAsia="Times New Roman"/>
      <w:sz w:val="16"/>
      <w:szCs w:val="16"/>
    </w:rPr>
  </w:style>
  <w:style w:type="paragraph" w:customStyle="1" w:styleId="xl84">
    <w:name w:val="xl84"/>
    <w:basedOn w:val="Normal"/>
    <w:rsid w:val="006340BB"/>
    <w:pPr>
      <w:pBdr>
        <w:top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85">
    <w:name w:val="xl85"/>
    <w:basedOn w:val="Normal"/>
    <w:rsid w:val="006340BB"/>
    <w:pPr>
      <w:pBdr>
        <w:top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86">
    <w:name w:val="xl86"/>
    <w:basedOn w:val="Normal"/>
    <w:rsid w:val="006340BB"/>
    <w:pPr>
      <w:pBdr>
        <w:top w:val="double" w:sz="6" w:space="0" w:color="auto"/>
        <w:left w:val="double" w:sz="6" w:space="0" w:color="auto"/>
        <w:bottom w:val="double" w:sz="6" w:space="0" w:color="auto"/>
      </w:pBdr>
      <w:spacing w:before="100" w:beforeAutospacing="1" w:after="100" w:afterAutospacing="1"/>
      <w:jc w:val="center"/>
      <w:textAlignment w:val="center"/>
    </w:pPr>
    <w:rPr>
      <w:rFonts w:eastAsia="Times New Roman"/>
      <w:sz w:val="16"/>
      <w:szCs w:val="16"/>
    </w:rPr>
  </w:style>
  <w:style w:type="paragraph" w:customStyle="1" w:styleId="xl87">
    <w:name w:val="xl87"/>
    <w:basedOn w:val="Normal"/>
    <w:rsid w:val="006340BB"/>
    <w:pPr>
      <w:pBdr>
        <w:top w:val="double" w:sz="6" w:space="0" w:color="auto"/>
        <w:bottom w:val="double" w:sz="6" w:space="0" w:color="auto"/>
      </w:pBdr>
      <w:spacing w:before="100" w:beforeAutospacing="1" w:after="100" w:afterAutospacing="1"/>
      <w:jc w:val="center"/>
      <w:textAlignment w:val="center"/>
    </w:pPr>
    <w:rPr>
      <w:rFonts w:eastAsia="Times New Roman"/>
      <w:sz w:val="16"/>
      <w:szCs w:val="16"/>
    </w:rPr>
  </w:style>
  <w:style w:type="paragraph" w:customStyle="1" w:styleId="xl88">
    <w:name w:val="xl88"/>
    <w:basedOn w:val="Normal"/>
    <w:rsid w:val="006340BB"/>
    <w:pPr>
      <w:pBdr>
        <w:top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89">
    <w:name w:val="xl89"/>
    <w:basedOn w:val="Normal"/>
    <w:rsid w:val="006340BB"/>
    <w:pPr>
      <w:pBdr>
        <w:top w:val="double" w:sz="6" w:space="0" w:color="auto"/>
        <w:bottom w:val="double" w:sz="6" w:space="0" w:color="auto"/>
        <w:right w:val="double" w:sz="6" w:space="0" w:color="000000"/>
      </w:pBdr>
      <w:spacing w:before="100" w:beforeAutospacing="1" w:after="100" w:afterAutospacing="1"/>
      <w:jc w:val="center"/>
      <w:textAlignment w:val="center"/>
    </w:pPr>
    <w:rPr>
      <w:rFonts w:eastAsia="Times New Roman"/>
      <w:sz w:val="16"/>
      <w:szCs w:val="16"/>
    </w:rPr>
  </w:style>
  <w:style w:type="paragraph" w:customStyle="1" w:styleId="xl90">
    <w:name w:val="xl90"/>
    <w:basedOn w:val="Normal"/>
    <w:rsid w:val="006340BB"/>
    <w:pPr>
      <w:pBdr>
        <w:top w:val="double" w:sz="6" w:space="0" w:color="auto"/>
        <w:left w:val="single" w:sz="4" w:space="0" w:color="000000"/>
        <w:bottom w:val="double" w:sz="6" w:space="0" w:color="auto"/>
        <w:right w:val="single" w:sz="4" w:space="0" w:color="000000"/>
      </w:pBdr>
      <w:spacing w:before="100" w:beforeAutospacing="1" w:after="100" w:afterAutospacing="1"/>
      <w:jc w:val="center"/>
      <w:textAlignment w:val="center"/>
    </w:pPr>
    <w:rPr>
      <w:rFonts w:eastAsia="Times New Roman"/>
      <w:sz w:val="16"/>
      <w:szCs w:val="16"/>
    </w:rPr>
  </w:style>
  <w:style w:type="paragraph" w:customStyle="1" w:styleId="xl91">
    <w:name w:val="xl91"/>
    <w:basedOn w:val="Normal"/>
    <w:rsid w:val="006340BB"/>
    <w:pPr>
      <w:pBdr>
        <w:left w:val="single" w:sz="4" w:space="0" w:color="000000"/>
        <w:bottom w:val="single" w:sz="4" w:space="0" w:color="EEECE1"/>
        <w:right w:val="single" w:sz="4" w:space="0" w:color="000000"/>
      </w:pBdr>
      <w:spacing w:before="100" w:beforeAutospacing="1" w:after="100" w:afterAutospacing="1"/>
      <w:jc w:val="left"/>
      <w:textAlignment w:val="center"/>
    </w:pPr>
    <w:rPr>
      <w:rFonts w:eastAsia="Times New Roman"/>
      <w:sz w:val="16"/>
      <w:szCs w:val="16"/>
    </w:rPr>
  </w:style>
  <w:style w:type="paragraph" w:customStyle="1" w:styleId="xl92">
    <w:name w:val="xl92"/>
    <w:basedOn w:val="Normal"/>
    <w:rsid w:val="006340BB"/>
    <w:pPr>
      <w:pBdr>
        <w:top w:val="single" w:sz="4" w:space="0" w:color="EEECE1"/>
        <w:left w:val="single" w:sz="4" w:space="0" w:color="000000"/>
        <w:bottom w:val="single" w:sz="4" w:space="0" w:color="EEECE1"/>
        <w:right w:val="single" w:sz="4" w:space="0" w:color="000000"/>
      </w:pBdr>
      <w:spacing w:before="100" w:beforeAutospacing="1" w:after="100" w:afterAutospacing="1"/>
      <w:jc w:val="left"/>
      <w:textAlignment w:val="center"/>
    </w:pPr>
    <w:rPr>
      <w:rFonts w:eastAsia="Times New Roman"/>
      <w:sz w:val="16"/>
      <w:szCs w:val="16"/>
    </w:rPr>
  </w:style>
  <w:style w:type="paragraph" w:customStyle="1" w:styleId="xl93">
    <w:name w:val="xl93"/>
    <w:basedOn w:val="Normal"/>
    <w:rsid w:val="006340BB"/>
    <w:pPr>
      <w:pBdr>
        <w:left w:val="single" w:sz="4" w:space="0" w:color="000000"/>
        <w:right w:val="single" w:sz="4" w:space="0" w:color="000000"/>
      </w:pBdr>
      <w:spacing w:before="100" w:beforeAutospacing="1" w:after="100" w:afterAutospacing="1"/>
      <w:jc w:val="left"/>
    </w:pPr>
    <w:rPr>
      <w:rFonts w:eastAsia="Times New Roman"/>
      <w:sz w:val="16"/>
      <w:szCs w:val="16"/>
    </w:rPr>
  </w:style>
  <w:style w:type="paragraph" w:styleId="ListParagraph">
    <w:name w:val="List Paragraph"/>
    <w:basedOn w:val="Normal"/>
    <w:uiPriority w:val="34"/>
    <w:qFormat/>
    <w:rsid w:val="006340BB"/>
    <w:pPr>
      <w:ind w:left="720"/>
      <w:contextualSpacing/>
    </w:pPr>
  </w:style>
  <w:style w:type="paragraph" w:styleId="Caption">
    <w:name w:val="caption"/>
    <w:basedOn w:val="Normal"/>
    <w:next w:val="Normal"/>
    <w:uiPriority w:val="35"/>
    <w:unhideWhenUsed/>
    <w:qFormat/>
    <w:rsid w:val="006340BB"/>
    <w:pPr>
      <w:spacing w:before="0" w:after="200"/>
    </w:pPr>
    <w:rPr>
      <w:b/>
      <w:bCs/>
      <w:color w:val="4F81BD" w:themeColor="accent1"/>
      <w:sz w:val="18"/>
      <w:szCs w:val="18"/>
    </w:rPr>
  </w:style>
  <w:style w:type="paragraph" w:styleId="Revision">
    <w:name w:val="Revision"/>
    <w:hidden/>
    <w:uiPriority w:val="99"/>
    <w:semiHidden/>
    <w:rsid w:val="006340BB"/>
    <w:pPr>
      <w:spacing w:after="0" w:line="240" w:lineRule="auto"/>
    </w:pPr>
    <w:rPr>
      <w:rFonts w:ascii="Times New Roman" w:hAnsi="Times New Roman" w:cs="Times New Roman"/>
      <w:sz w:val="24"/>
    </w:rPr>
  </w:style>
  <w:style w:type="character" w:styleId="Emphasis">
    <w:name w:val="Emphasis"/>
    <w:basedOn w:val="DefaultParagraphFont"/>
    <w:uiPriority w:val="20"/>
    <w:qFormat/>
    <w:rsid w:val="006340BB"/>
    <w:rPr>
      <w:i/>
      <w:iCs/>
    </w:rPr>
  </w:style>
  <w:style w:type="paragraph" w:customStyle="1" w:styleId="xl94">
    <w:name w:val="xl94"/>
    <w:basedOn w:val="Normal"/>
    <w:rsid w:val="006340BB"/>
    <w:pPr>
      <w:pBdr>
        <w:bottom w:val="single" w:sz="4" w:space="0" w:color="EEECE1"/>
        <w:right w:val="double" w:sz="6" w:space="0" w:color="auto"/>
      </w:pBdr>
      <w:spacing w:before="100" w:beforeAutospacing="1" w:after="100" w:afterAutospacing="1"/>
      <w:jc w:val="left"/>
      <w:textAlignment w:val="center"/>
    </w:pPr>
    <w:rPr>
      <w:rFonts w:eastAsia="Times New Roman"/>
      <w:szCs w:val="24"/>
    </w:rPr>
  </w:style>
  <w:style w:type="paragraph" w:customStyle="1" w:styleId="xl95">
    <w:name w:val="xl95"/>
    <w:basedOn w:val="Normal"/>
    <w:rsid w:val="006340BB"/>
    <w:pPr>
      <w:pBdr>
        <w:left w:val="double" w:sz="6" w:space="0" w:color="auto"/>
        <w:bottom w:val="single" w:sz="4" w:space="0" w:color="EEECE1"/>
        <w:right w:val="double" w:sz="6" w:space="0" w:color="auto"/>
      </w:pBdr>
      <w:spacing w:before="100" w:beforeAutospacing="1" w:after="100" w:afterAutospacing="1"/>
      <w:jc w:val="center"/>
      <w:textAlignment w:val="center"/>
    </w:pPr>
    <w:rPr>
      <w:rFonts w:eastAsia="Times New Roman"/>
      <w:szCs w:val="24"/>
    </w:rPr>
  </w:style>
  <w:style w:type="paragraph" w:customStyle="1" w:styleId="xl96">
    <w:name w:val="xl96"/>
    <w:basedOn w:val="Normal"/>
    <w:rsid w:val="006340BB"/>
    <w:pPr>
      <w:pBdr>
        <w:top w:val="double" w:sz="6" w:space="0" w:color="auto"/>
        <w:left w:val="double" w:sz="6" w:space="0" w:color="auto"/>
      </w:pBdr>
      <w:spacing w:before="100" w:beforeAutospacing="1" w:after="100" w:afterAutospacing="1"/>
      <w:jc w:val="center"/>
      <w:textAlignment w:val="center"/>
    </w:pPr>
    <w:rPr>
      <w:rFonts w:eastAsia="Times New Roman"/>
      <w:szCs w:val="24"/>
    </w:rPr>
  </w:style>
  <w:style w:type="paragraph" w:customStyle="1" w:styleId="xl97">
    <w:name w:val="xl97"/>
    <w:basedOn w:val="Normal"/>
    <w:rsid w:val="006340BB"/>
    <w:pPr>
      <w:pBdr>
        <w:top w:val="double" w:sz="6" w:space="0" w:color="auto"/>
        <w:left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98">
    <w:name w:val="xl98"/>
    <w:basedOn w:val="Normal"/>
    <w:rsid w:val="006340BB"/>
    <w:pPr>
      <w:pBdr>
        <w:top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99">
    <w:name w:val="xl99"/>
    <w:basedOn w:val="Normal"/>
    <w:rsid w:val="006340BB"/>
    <w:pPr>
      <w:pBdr>
        <w:top w:val="double" w:sz="6" w:space="0" w:color="auto"/>
        <w:left w:val="double" w:sz="6" w:space="0" w:color="auto"/>
        <w:bottom w:val="double" w:sz="6" w:space="0" w:color="auto"/>
      </w:pBdr>
      <w:spacing w:before="100" w:beforeAutospacing="1" w:after="100" w:afterAutospacing="1"/>
      <w:jc w:val="center"/>
      <w:textAlignment w:val="center"/>
    </w:pPr>
    <w:rPr>
      <w:rFonts w:eastAsia="Times New Roman"/>
      <w:szCs w:val="24"/>
    </w:rPr>
  </w:style>
  <w:style w:type="paragraph" w:customStyle="1" w:styleId="xl100">
    <w:name w:val="xl100"/>
    <w:basedOn w:val="Normal"/>
    <w:rsid w:val="006340BB"/>
    <w:pPr>
      <w:pBdr>
        <w:top w:val="double" w:sz="6" w:space="0" w:color="auto"/>
        <w:bottom w:val="double" w:sz="6" w:space="0" w:color="auto"/>
      </w:pBdr>
      <w:spacing w:before="100" w:beforeAutospacing="1" w:after="100" w:afterAutospacing="1"/>
      <w:jc w:val="center"/>
      <w:textAlignment w:val="center"/>
    </w:pPr>
    <w:rPr>
      <w:rFonts w:eastAsia="Times New Roman"/>
      <w:szCs w:val="24"/>
    </w:rPr>
  </w:style>
  <w:style w:type="paragraph" w:customStyle="1" w:styleId="xl101">
    <w:name w:val="xl101"/>
    <w:basedOn w:val="Normal"/>
    <w:rsid w:val="006340BB"/>
    <w:pPr>
      <w:pBdr>
        <w:top w:val="double" w:sz="6" w:space="0" w:color="auto"/>
        <w:left w:val="single" w:sz="4" w:space="0" w:color="auto"/>
        <w:bottom w:val="double" w:sz="6" w:space="0" w:color="auto"/>
      </w:pBdr>
      <w:spacing w:before="100" w:beforeAutospacing="1" w:after="100" w:afterAutospacing="1"/>
      <w:jc w:val="center"/>
      <w:textAlignment w:val="center"/>
    </w:pPr>
    <w:rPr>
      <w:rFonts w:eastAsia="Times New Roman"/>
      <w:szCs w:val="24"/>
    </w:rPr>
  </w:style>
  <w:style w:type="paragraph" w:customStyle="1" w:styleId="xl102">
    <w:name w:val="xl102"/>
    <w:basedOn w:val="Normal"/>
    <w:rsid w:val="006340BB"/>
    <w:pPr>
      <w:pBdr>
        <w:top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103">
    <w:name w:val="xl103"/>
    <w:basedOn w:val="Normal"/>
    <w:rsid w:val="006340BB"/>
    <w:pPr>
      <w:pBdr>
        <w:left w:val="double" w:sz="6" w:space="0" w:color="auto"/>
        <w:bottom w:val="double" w:sz="6" w:space="0" w:color="auto"/>
      </w:pBdr>
      <w:spacing w:before="100" w:beforeAutospacing="1" w:after="100" w:afterAutospacing="1"/>
      <w:jc w:val="center"/>
      <w:textAlignment w:val="center"/>
    </w:pPr>
    <w:rPr>
      <w:rFonts w:eastAsia="Times New Roman"/>
      <w:szCs w:val="24"/>
    </w:rPr>
  </w:style>
  <w:style w:type="paragraph" w:customStyle="1" w:styleId="xl104">
    <w:name w:val="xl104"/>
    <w:basedOn w:val="Normal"/>
    <w:rsid w:val="006340BB"/>
    <w:pPr>
      <w:pBdr>
        <w:left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105">
    <w:name w:val="xl105"/>
    <w:basedOn w:val="Normal"/>
    <w:rsid w:val="006340BB"/>
    <w:pPr>
      <w:pBdr>
        <w:bottom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106">
    <w:name w:val="xl106"/>
    <w:basedOn w:val="Normal"/>
    <w:rsid w:val="006340BB"/>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rFonts w:eastAsia="Times New Roman"/>
      <w:szCs w:val="24"/>
    </w:rPr>
  </w:style>
  <w:style w:type="paragraph" w:customStyle="1" w:styleId="xl107">
    <w:name w:val="xl107"/>
    <w:basedOn w:val="Normal"/>
    <w:rsid w:val="006340BB"/>
    <w:pPr>
      <w:pBdr>
        <w:top w:val="single" w:sz="4" w:space="0" w:color="EEECE1"/>
        <w:left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108">
    <w:name w:val="xl108"/>
    <w:basedOn w:val="Normal"/>
    <w:rsid w:val="006340BB"/>
    <w:pPr>
      <w:pBdr>
        <w:left w:val="double" w:sz="6" w:space="0" w:color="auto"/>
        <w:right w:val="single" w:sz="4" w:space="0" w:color="auto"/>
      </w:pBdr>
      <w:spacing w:before="100" w:beforeAutospacing="1" w:after="100" w:afterAutospacing="1"/>
      <w:jc w:val="left"/>
    </w:pPr>
    <w:rPr>
      <w:rFonts w:eastAsia="Times New Roman"/>
      <w:szCs w:val="24"/>
    </w:rPr>
  </w:style>
  <w:style w:type="paragraph" w:customStyle="1" w:styleId="xl109">
    <w:name w:val="xl109"/>
    <w:basedOn w:val="Normal"/>
    <w:rsid w:val="006340BB"/>
    <w:pPr>
      <w:pBdr>
        <w:top w:val="double" w:sz="6"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szCs w:val="24"/>
    </w:rPr>
  </w:style>
  <w:style w:type="paragraph" w:customStyle="1" w:styleId="xl110">
    <w:name w:val="xl110"/>
    <w:basedOn w:val="Normal"/>
    <w:rsid w:val="006340BB"/>
    <w:pPr>
      <w:pBdr>
        <w:top w:val="double" w:sz="6" w:space="0" w:color="auto"/>
        <w:bottom w:val="double" w:sz="6" w:space="0" w:color="auto"/>
        <w:right w:val="single" w:sz="4" w:space="0" w:color="auto"/>
      </w:pBdr>
      <w:spacing w:before="100" w:beforeAutospacing="1" w:after="100" w:afterAutospacing="1"/>
      <w:jc w:val="center"/>
      <w:textAlignment w:val="center"/>
    </w:pPr>
    <w:rPr>
      <w:rFonts w:eastAsia="Times New Roman"/>
      <w:szCs w:val="24"/>
    </w:rPr>
  </w:style>
  <w:style w:type="paragraph" w:styleId="TableofFigures">
    <w:name w:val="table of figures"/>
    <w:basedOn w:val="Normal"/>
    <w:next w:val="Normal"/>
    <w:uiPriority w:val="99"/>
    <w:semiHidden/>
    <w:unhideWhenUsed/>
    <w:rsid w:val="006340BB"/>
    <w:pPr>
      <w:spacing w:after="0"/>
    </w:pPr>
  </w:style>
  <w:style w:type="paragraph" w:styleId="ListNumber2">
    <w:name w:val="List Number 2"/>
    <w:basedOn w:val="Normal"/>
    <w:uiPriority w:val="99"/>
    <w:semiHidden/>
    <w:unhideWhenUsed/>
    <w:rsid w:val="006340BB"/>
    <w:pPr>
      <w:numPr>
        <w:numId w:val="6"/>
      </w:numPr>
      <w:contextualSpacing/>
    </w:pPr>
  </w:style>
  <w:style w:type="paragraph" w:styleId="ListNumber3">
    <w:name w:val="List Number 3"/>
    <w:basedOn w:val="Normal"/>
    <w:uiPriority w:val="99"/>
    <w:semiHidden/>
    <w:unhideWhenUsed/>
    <w:rsid w:val="006340BB"/>
    <w:pPr>
      <w:numPr>
        <w:numId w:val="7"/>
      </w:numPr>
      <w:contextualSpacing/>
    </w:pPr>
  </w:style>
  <w:style w:type="paragraph" w:styleId="ListNumber4">
    <w:name w:val="List Number 4"/>
    <w:basedOn w:val="Normal"/>
    <w:uiPriority w:val="99"/>
    <w:semiHidden/>
    <w:unhideWhenUsed/>
    <w:rsid w:val="006340BB"/>
    <w:pPr>
      <w:numPr>
        <w:numId w:val="8"/>
      </w:numPr>
      <w:contextualSpacing/>
    </w:pPr>
  </w:style>
  <w:style w:type="paragraph" w:customStyle="1" w:styleId="msonormal0">
    <w:name w:val="msonormal"/>
    <w:basedOn w:val="Normal"/>
    <w:rsid w:val="0084496A"/>
    <w:pPr>
      <w:spacing w:before="100" w:beforeAutospacing="1" w:after="100" w:afterAutospacing="1"/>
      <w:jc w:val="left"/>
    </w:pPr>
    <w:rPr>
      <w:rFonts w:eastAsia="Times New Roman"/>
      <w:szCs w:val="24"/>
    </w:rPr>
  </w:style>
  <w:style w:type="paragraph" w:customStyle="1" w:styleId="xl64">
    <w:name w:val="xl64"/>
    <w:basedOn w:val="Normal"/>
    <w:rsid w:val="00785034"/>
    <w:pPr>
      <w:pBdr>
        <w:right w:val="double" w:sz="6" w:space="0" w:color="auto"/>
      </w:pBdr>
      <w:spacing w:before="100" w:beforeAutospacing="1" w:after="100" w:afterAutospacing="1"/>
      <w:jc w:val="left"/>
    </w:pPr>
    <w:rPr>
      <w:rFonts w:eastAsia="Times New Roman"/>
      <w:szCs w:val="24"/>
    </w:rPr>
  </w:style>
  <w:style w:type="paragraph" w:customStyle="1" w:styleId="xl65">
    <w:name w:val="xl65"/>
    <w:basedOn w:val="Normal"/>
    <w:rsid w:val="00785034"/>
    <w:pPr>
      <w:pBdr>
        <w:right w:val="single" w:sz="4" w:space="0" w:color="auto"/>
      </w:pBdr>
      <w:spacing w:before="100" w:beforeAutospacing="1" w:after="100" w:afterAutospacing="1"/>
      <w:jc w:val="left"/>
    </w:pPr>
    <w:rPr>
      <w:rFonts w:eastAsia="Times New Roman"/>
      <w:szCs w:val="24"/>
    </w:rPr>
  </w:style>
  <w:style w:type="paragraph" w:styleId="Header">
    <w:name w:val="header"/>
    <w:basedOn w:val="Normal"/>
    <w:link w:val="HeaderChar"/>
    <w:uiPriority w:val="99"/>
    <w:semiHidden/>
    <w:unhideWhenUsed/>
    <w:rsid w:val="00471AF5"/>
    <w:pPr>
      <w:tabs>
        <w:tab w:val="center" w:pos="4535"/>
        <w:tab w:val="right" w:pos="9071"/>
      </w:tabs>
      <w:spacing w:before="0"/>
    </w:pPr>
  </w:style>
  <w:style w:type="character" w:customStyle="1" w:styleId="HeaderChar">
    <w:name w:val="Header Char"/>
    <w:basedOn w:val="DefaultParagraphFont"/>
    <w:link w:val="Header"/>
    <w:uiPriority w:val="99"/>
    <w:semiHidden/>
    <w:rsid w:val="00471AF5"/>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471AF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471AF5"/>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471AF5"/>
    <w:pPr>
      <w:tabs>
        <w:tab w:val="center" w:pos="7285"/>
        <w:tab w:val="right" w:pos="14003"/>
      </w:tabs>
      <w:spacing w:before="0"/>
    </w:pPr>
  </w:style>
  <w:style w:type="paragraph" w:customStyle="1" w:styleId="FooterLandscape">
    <w:name w:val="FooterLandscape"/>
    <w:basedOn w:val="Normal"/>
    <w:rsid w:val="00471AF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471AF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71AF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26"/>
      </w:numPr>
    </w:pPr>
  </w:style>
  <w:style w:type="paragraph" w:customStyle="1" w:styleId="Tiret1">
    <w:name w:val="Tiret 1"/>
    <w:basedOn w:val="Point1"/>
    <w:rsid w:val="00471AF5"/>
    <w:pPr>
      <w:numPr>
        <w:numId w:val="27"/>
      </w:numPr>
    </w:pPr>
  </w:style>
  <w:style w:type="paragraph" w:customStyle="1" w:styleId="Tiret2">
    <w:name w:val="Tiret 2"/>
    <w:basedOn w:val="Point2"/>
    <w:rsid w:val="00471AF5"/>
    <w:pPr>
      <w:numPr>
        <w:numId w:val="28"/>
      </w:numPr>
    </w:pPr>
  </w:style>
  <w:style w:type="paragraph" w:customStyle="1" w:styleId="Tiret3">
    <w:name w:val="Tiret 3"/>
    <w:basedOn w:val="Point3"/>
    <w:rsid w:val="00471AF5"/>
    <w:pPr>
      <w:numPr>
        <w:numId w:val="29"/>
      </w:numPr>
    </w:pPr>
  </w:style>
  <w:style w:type="paragraph" w:customStyle="1" w:styleId="Tiret4">
    <w:name w:val="Tiret 4"/>
    <w:basedOn w:val="Point4"/>
    <w:rsid w:val="00471AF5"/>
    <w:pPr>
      <w:numPr>
        <w:numId w:val="30"/>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31"/>
      </w:numPr>
    </w:pPr>
  </w:style>
  <w:style w:type="paragraph" w:customStyle="1" w:styleId="NumPar2">
    <w:name w:val="NumPar 2"/>
    <w:basedOn w:val="Normal"/>
    <w:next w:val="Text1"/>
    <w:rsid w:val="00471AF5"/>
    <w:pPr>
      <w:numPr>
        <w:ilvl w:val="1"/>
        <w:numId w:val="31"/>
      </w:numPr>
    </w:pPr>
  </w:style>
  <w:style w:type="paragraph" w:customStyle="1" w:styleId="NumPar3">
    <w:name w:val="NumPar 3"/>
    <w:basedOn w:val="Normal"/>
    <w:next w:val="Text1"/>
    <w:rsid w:val="00471AF5"/>
    <w:pPr>
      <w:numPr>
        <w:ilvl w:val="2"/>
        <w:numId w:val="31"/>
      </w:numPr>
    </w:pPr>
  </w:style>
  <w:style w:type="paragraph" w:customStyle="1" w:styleId="NumPar4">
    <w:name w:val="NumPar 4"/>
    <w:basedOn w:val="Normal"/>
    <w:next w:val="Text1"/>
    <w:rsid w:val="00471AF5"/>
    <w:pPr>
      <w:numPr>
        <w:ilvl w:val="3"/>
        <w:numId w:val="31"/>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33"/>
      </w:numPr>
    </w:pPr>
  </w:style>
  <w:style w:type="paragraph" w:customStyle="1" w:styleId="Point1number">
    <w:name w:val="Point 1 (number)"/>
    <w:basedOn w:val="Normal"/>
    <w:rsid w:val="00471AF5"/>
    <w:pPr>
      <w:numPr>
        <w:ilvl w:val="2"/>
        <w:numId w:val="33"/>
      </w:numPr>
    </w:pPr>
  </w:style>
  <w:style w:type="paragraph" w:customStyle="1" w:styleId="Point2number">
    <w:name w:val="Point 2 (number)"/>
    <w:basedOn w:val="Normal"/>
    <w:rsid w:val="00471AF5"/>
    <w:pPr>
      <w:numPr>
        <w:ilvl w:val="4"/>
        <w:numId w:val="33"/>
      </w:numPr>
    </w:pPr>
  </w:style>
  <w:style w:type="paragraph" w:customStyle="1" w:styleId="Point3number">
    <w:name w:val="Point 3 (number)"/>
    <w:basedOn w:val="Normal"/>
    <w:rsid w:val="00471AF5"/>
    <w:pPr>
      <w:numPr>
        <w:ilvl w:val="6"/>
        <w:numId w:val="33"/>
      </w:numPr>
    </w:pPr>
  </w:style>
  <w:style w:type="paragraph" w:customStyle="1" w:styleId="Point0letter">
    <w:name w:val="Point 0 (letter)"/>
    <w:basedOn w:val="Normal"/>
    <w:rsid w:val="00471AF5"/>
    <w:pPr>
      <w:numPr>
        <w:ilvl w:val="1"/>
        <w:numId w:val="33"/>
      </w:numPr>
    </w:pPr>
  </w:style>
  <w:style w:type="paragraph" w:customStyle="1" w:styleId="Point1letter">
    <w:name w:val="Point 1 (letter)"/>
    <w:basedOn w:val="Normal"/>
    <w:rsid w:val="00471AF5"/>
    <w:pPr>
      <w:numPr>
        <w:ilvl w:val="3"/>
        <w:numId w:val="33"/>
      </w:numPr>
    </w:pPr>
  </w:style>
  <w:style w:type="paragraph" w:customStyle="1" w:styleId="Point2letter">
    <w:name w:val="Point 2 (letter)"/>
    <w:basedOn w:val="Normal"/>
    <w:rsid w:val="00471AF5"/>
    <w:pPr>
      <w:numPr>
        <w:ilvl w:val="5"/>
        <w:numId w:val="33"/>
      </w:numPr>
    </w:pPr>
  </w:style>
  <w:style w:type="paragraph" w:customStyle="1" w:styleId="Point3letter">
    <w:name w:val="Point 3 (letter)"/>
    <w:basedOn w:val="Normal"/>
    <w:rsid w:val="00471AF5"/>
    <w:pPr>
      <w:numPr>
        <w:ilvl w:val="7"/>
        <w:numId w:val="33"/>
      </w:numPr>
    </w:pPr>
  </w:style>
  <w:style w:type="paragraph" w:customStyle="1" w:styleId="Point4letter">
    <w:name w:val="Point 4 (letter)"/>
    <w:basedOn w:val="Normal"/>
    <w:rsid w:val="00471AF5"/>
    <w:pPr>
      <w:numPr>
        <w:ilvl w:val="8"/>
        <w:numId w:val="33"/>
      </w:numPr>
    </w:pPr>
  </w:style>
  <w:style w:type="paragraph" w:customStyle="1" w:styleId="Bullet0">
    <w:name w:val="Bullet 0"/>
    <w:basedOn w:val="Normal"/>
    <w:rsid w:val="00471AF5"/>
    <w:pPr>
      <w:numPr>
        <w:numId w:val="34"/>
      </w:numPr>
    </w:pPr>
  </w:style>
  <w:style w:type="paragraph" w:customStyle="1" w:styleId="Bullet1">
    <w:name w:val="Bullet 1"/>
    <w:basedOn w:val="Normal"/>
    <w:rsid w:val="00471AF5"/>
    <w:pPr>
      <w:numPr>
        <w:numId w:val="35"/>
      </w:numPr>
    </w:pPr>
  </w:style>
  <w:style w:type="paragraph" w:customStyle="1" w:styleId="Bullet2">
    <w:name w:val="Bullet 2"/>
    <w:basedOn w:val="Normal"/>
    <w:rsid w:val="00471AF5"/>
    <w:pPr>
      <w:numPr>
        <w:numId w:val="36"/>
      </w:numPr>
    </w:pPr>
  </w:style>
  <w:style w:type="paragraph" w:customStyle="1" w:styleId="Bullet3">
    <w:name w:val="Bullet 3"/>
    <w:basedOn w:val="Normal"/>
    <w:rsid w:val="00471AF5"/>
    <w:pPr>
      <w:numPr>
        <w:numId w:val="37"/>
      </w:numPr>
    </w:pPr>
  </w:style>
  <w:style w:type="paragraph" w:customStyle="1" w:styleId="Bullet4">
    <w:name w:val="Bullet 4"/>
    <w:basedOn w:val="Normal"/>
    <w:rsid w:val="00471AF5"/>
    <w:pPr>
      <w:numPr>
        <w:numId w:val="38"/>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39"/>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539">
      <w:bodyDiv w:val="1"/>
      <w:marLeft w:val="0"/>
      <w:marRight w:val="0"/>
      <w:marTop w:val="0"/>
      <w:marBottom w:val="0"/>
      <w:divBdr>
        <w:top w:val="none" w:sz="0" w:space="0" w:color="auto"/>
        <w:left w:val="none" w:sz="0" w:space="0" w:color="auto"/>
        <w:bottom w:val="none" w:sz="0" w:space="0" w:color="auto"/>
        <w:right w:val="none" w:sz="0" w:space="0" w:color="auto"/>
      </w:divBdr>
    </w:div>
    <w:div w:id="273219774">
      <w:bodyDiv w:val="1"/>
      <w:marLeft w:val="0"/>
      <w:marRight w:val="0"/>
      <w:marTop w:val="0"/>
      <w:marBottom w:val="0"/>
      <w:divBdr>
        <w:top w:val="none" w:sz="0" w:space="0" w:color="auto"/>
        <w:left w:val="none" w:sz="0" w:space="0" w:color="auto"/>
        <w:bottom w:val="none" w:sz="0" w:space="0" w:color="auto"/>
        <w:right w:val="none" w:sz="0" w:space="0" w:color="auto"/>
      </w:divBdr>
    </w:div>
    <w:div w:id="832641547">
      <w:bodyDiv w:val="1"/>
      <w:marLeft w:val="0"/>
      <w:marRight w:val="0"/>
      <w:marTop w:val="0"/>
      <w:marBottom w:val="0"/>
      <w:divBdr>
        <w:top w:val="none" w:sz="0" w:space="0" w:color="auto"/>
        <w:left w:val="none" w:sz="0" w:space="0" w:color="auto"/>
        <w:bottom w:val="none" w:sz="0" w:space="0" w:color="auto"/>
        <w:right w:val="none" w:sz="0" w:space="0" w:color="auto"/>
      </w:divBdr>
    </w:div>
    <w:div w:id="1129056700">
      <w:bodyDiv w:val="1"/>
      <w:marLeft w:val="0"/>
      <w:marRight w:val="0"/>
      <w:marTop w:val="0"/>
      <w:marBottom w:val="0"/>
      <w:divBdr>
        <w:top w:val="none" w:sz="0" w:space="0" w:color="auto"/>
        <w:left w:val="none" w:sz="0" w:space="0" w:color="auto"/>
        <w:bottom w:val="none" w:sz="0" w:space="0" w:color="auto"/>
        <w:right w:val="none" w:sz="0" w:space="0" w:color="auto"/>
      </w:divBdr>
    </w:div>
    <w:div w:id="1294943413">
      <w:bodyDiv w:val="1"/>
      <w:marLeft w:val="0"/>
      <w:marRight w:val="0"/>
      <w:marTop w:val="0"/>
      <w:marBottom w:val="0"/>
      <w:divBdr>
        <w:top w:val="none" w:sz="0" w:space="0" w:color="auto"/>
        <w:left w:val="none" w:sz="0" w:space="0" w:color="auto"/>
        <w:bottom w:val="none" w:sz="0" w:space="0" w:color="auto"/>
        <w:right w:val="none" w:sz="0" w:space="0" w:color="auto"/>
      </w:divBdr>
    </w:div>
    <w:div w:id="1623265829">
      <w:bodyDiv w:val="1"/>
      <w:marLeft w:val="0"/>
      <w:marRight w:val="0"/>
      <w:marTop w:val="0"/>
      <w:marBottom w:val="0"/>
      <w:divBdr>
        <w:top w:val="none" w:sz="0" w:space="0" w:color="auto"/>
        <w:left w:val="none" w:sz="0" w:space="0" w:color="auto"/>
        <w:bottom w:val="none" w:sz="0" w:space="0" w:color="auto"/>
        <w:right w:val="none" w:sz="0" w:space="0" w:color="auto"/>
      </w:divBdr>
    </w:div>
    <w:div w:id="171986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99C87AF-A5F7-4BED-A9E2-16F57644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Pages>
  <Words>15560</Words>
  <Characters>67337</Characters>
  <Application>Microsoft Office Word</Application>
  <DocSecurity>0</DocSecurity>
  <Lines>13721</Lines>
  <Paragraphs>7316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HERCHER Jachym (GROW)</dc:creator>
  <cp:lastModifiedBy>KANTIANIS George (DGT)</cp:lastModifiedBy>
  <cp:revision>3</cp:revision>
  <dcterms:created xsi:type="dcterms:W3CDTF">2019-05-21T07:42:00Z</dcterms:created>
  <dcterms:modified xsi:type="dcterms:W3CDTF">2019-05-21T07:43:00Z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DQCStatus">
    <vt:lpwstr>Green (DQC version 03)</vt:lpwstr>
  </property>
</Properties>
</file>